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tblPrEx>
          <w:tblLayout w:type="fixed"/>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pPr>
              <w:jc w:val="center"/>
              <w:rPr>
                <w:rFonts w:cs="Arial"/>
                <w:b/>
                <w:bCs/>
                <w:color w:val="000000"/>
                <w:sz w:val="40"/>
                <w:szCs w:val="40"/>
              </w:rPr>
            </w:pPr>
            <w:r>
              <w:rPr>
                <w:rFonts w:hint="eastAsia" w:cs="Arial"/>
                <w:b/>
                <w:bCs/>
                <w:color w:val="000000"/>
                <w:sz w:val="40"/>
                <w:szCs w:val="40"/>
              </w:rPr>
              <w:t>苏州市级财政支出项目绩效自评价报告</w:t>
            </w:r>
          </w:p>
        </w:tc>
      </w:tr>
      <w:tr>
        <w:tblPrEx>
          <w:tblLayout w:type="fixed"/>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center"/>
              <w:rPr>
                <w:rFonts w:cs="Arial"/>
                <w:b/>
                <w:bCs/>
                <w:color w:val="000000"/>
                <w:sz w:val="36"/>
                <w:szCs w:val="36"/>
              </w:rPr>
            </w:pPr>
            <w:r>
              <w:rPr>
                <w:rFonts w:hint="eastAsia" w:cs="Arial"/>
                <w:b/>
                <w:bCs/>
                <w:color w:val="000000"/>
                <w:sz w:val="36"/>
                <w:szCs w:val="36"/>
              </w:rPr>
              <w:t>苏州市级财政支出项目绩效自评表</w:t>
            </w:r>
          </w:p>
        </w:tc>
      </w:tr>
      <w:tr>
        <w:tblPrEx>
          <w:tblLayout w:type="fixed"/>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ascii="宋体" w:hAnsi="宋体"/>
                <w:sz w:val="22"/>
              </w:rPr>
              <w:t>单位委托中介机构协助开展内管干部经济责任审计费用</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eastAsia="宋体" w:cs="Arial"/>
                <w:color w:val="000000"/>
                <w:sz w:val="22"/>
                <w:lang w:eastAsia="zh-CN"/>
              </w:rPr>
            </w:pPr>
            <w:r>
              <w:rPr>
                <w:rFonts w:hint="eastAsia" w:ascii="宋体" w:hAnsi="宋体"/>
                <w:sz w:val="22"/>
              </w:rPr>
              <w:t>2</w:t>
            </w:r>
            <w:r>
              <w:rPr>
                <w:rFonts w:ascii="宋体" w:hAnsi="宋体"/>
                <w:sz w:val="22"/>
              </w:rPr>
              <w:t>02</w:t>
            </w:r>
            <w:r>
              <w:rPr>
                <w:rFonts w:hint="eastAsia" w:ascii="宋体" w:hAnsi="宋体"/>
                <w:sz w:val="22"/>
                <w:lang w:val="en-US" w:eastAsia="zh-CN"/>
              </w:rPr>
              <w:t>4</w:t>
            </w:r>
          </w:p>
        </w:tc>
      </w:tr>
      <w:tr>
        <w:tblPrEx>
          <w:tblLayout w:type="fixed"/>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ascii="宋体" w:hAnsi="宋体"/>
                <w:sz w:val="22"/>
              </w:rPr>
              <w:t>苏州市科学技术局</w:t>
            </w:r>
          </w:p>
        </w:tc>
      </w:tr>
      <w:tr>
        <w:tblPrEx>
          <w:tblLayout w:type="fixed"/>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overflowPunct w:val="0"/>
              <w:adjustRightInd w:val="0"/>
              <w:snapToGrid w:val="0"/>
              <w:jc w:val="center"/>
              <w:rPr>
                <w:rFonts w:hint="eastAsia" w:eastAsia="宋体"/>
                <w:snapToGrid w:val="0"/>
                <w:color w:val="000000"/>
                <w:kern w:val="0"/>
                <w:sz w:val="24"/>
                <w:szCs w:val="28"/>
                <w:highlight w:val="none"/>
              </w:rPr>
            </w:pPr>
            <w:r>
              <w:rPr>
                <w:rFonts w:hint="eastAsia" w:eastAsia="宋体"/>
                <w:snapToGrid w:val="0"/>
                <w:color w:val="000000"/>
                <w:kern w:val="0"/>
                <w:sz w:val="24"/>
                <w:szCs w:val="28"/>
                <w:highlight w:val="none"/>
              </w:rPr>
              <w:t>当年使用上年结余、</w:t>
            </w:r>
          </w:p>
          <w:p>
            <w:pPr>
              <w:jc w:val="center"/>
              <w:rPr>
                <w:rFonts w:cs="Arial"/>
                <w:color w:val="000000"/>
                <w:sz w:val="22"/>
              </w:rPr>
            </w:pPr>
            <w:r>
              <w:rPr>
                <w:rFonts w:hint="eastAsia" w:eastAsia="宋体"/>
                <w:snapToGrid w:val="0"/>
                <w:color w:val="000000"/>
                <w:spacing w:val="-10"/>
                <w:kern w:val="0"/>
                <w:sz w:val="24"/>
                <w:szCs w:val="28"/>
                <w:highlight w:val="none"/>
              </w:rPr>
              <w:t>结转及当年预算</w:t>
            </w:r>
            <w:r>
              <w:rPr>
                <w:rFonts w:hint="eastAsia" w:eastAsia="宋体"/>
                <w:snapToGrid w:val="0"/>
                <w:color w:val="000000"/>
                <w:spacing w:val="-10"/>
                <w:kern w:val="0"/>
                <w:sz w:val="24"/>
                <w:szCs w:val="28"/>
                <w:highlight w:val="none"/>
                <w:lang w:val="en-US" w:eastAsia="zh-CN"/>
              </w:rPr>
              <w:t>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指标结余收回数</w:t>
            </w:r>
          </w:p>
        </w:tc>
      </w:tr>
      <w:tr>
        <w:tblPrEx>
          <w:tblLayout w:type="fixed"/>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ascii="宋体" w:hAnsi="宋体"/>
                <w:sz w:val="22"/>
              </w:rPr>
              <w:t>3.5</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ascii="宋体" w:hAnsi="宋体"/>
                <w:sz w:val="22"/>
              </w:rPr>
              <w:t>3.5</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ascii="宋体" w:hAnsi="宋体"/>
                <w:sz w:val="22"/>
              </w:rPr>
              <w:t>0.14</w:t>
            </w:r>
          </w:p>
        </w:tc>
      </w:tr>
      <w:tr>
        <w:tblPrEx>
          <w:tblLayout w:type="fixed"/>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其中：</w:t>
            </w:r>
          </w:p>
        </w:tc>
      </w:tr>
      <w:tr>
        <w:tblPrEx>
          <w:tblLayout w:type="fixed"/>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财政收回数</w:t>
            </w:r>
          </w:p>
        </w:tc>
      </w:tr>
      <w:tr>
        <w:tblPrEx>
          <w:tblLayout w:type="fixed"/>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ascii="宋体" w:hAnsi="宋体"/>
                <w:sz w:val="22"/>
              </w:rPr>
              <w:t>3.5</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ascii="宋体" w:hAnsi="宋体"/>
                <w:sz w:val="22"/>
              </w:rPr>
              <w:t>3.36</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ascii="宋体" w:hAnsi="宋体"/>
                <w:sz w:val="22"/>
              </w:rPr>
              <w:t>.14</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ascii="宋体" w:hAnsi="宋体"/>
                <w:sz w:val="22"/>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Arial"/>
                <w:color w:val="000000"/>
                <w:kern w:val="0"/>
                <w:sz w:val="20"/>
                <w:szCs w:val="20"/>
              </w:rPr>
            </w:pPr>
            <w:r>
              <w:rPr>
                <w:rFonts w:ascii="宋体" w:hAnsi="宋体" w:eastAsia="宋体" w:cs="宋体"/>
                <w:color w:val="000000"/>
                <w:sz w:val="20"/>
                <w:u w:val="none"/>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lang w:val="en-US" w:eastAsia="zh-CN"/>
              </w:rPr>
              <w:t>调整</w:t>
            </w:r>
            <w:r>
              <w:rPr>
                <w:rFonts w:hint="eastAsia" w:ascii="宋体" w:hAnsi="宋体" w:cs="Arial"/>
                <w:color w:val="000000"/>
                <w:kern w:val="0"/>
                <w:sz w:val="20"/>
                <w:szCs w:val="20"/>
              </w:rPr>
              <w:t>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实际</w:t>
            </w:r>
            <w:r>
              <w:rPr>
                <w:rFonts w:hint="eastAsia" w:ascii="宋体" w:hAnsi="宋体" w:cs="Arial"/>
                <w:color w:val="000000"/>
                <w:kern w:val="0"/>
                <w:sz w:val="20"/>
                <w:szCs w:val="20"/>
                <w:lang w:val="en-US" w:eastAsia="zh-CN"/>
              </w:rPr>
              <w:t>支出</w:t>
            </w:r>
            <w:r>
              <w:rPr>
                <w:rFonts w:hint="eastAsia" w:ascii="宋体" w:hAnsi="宋体" w:cs="Arial"/>
                <w:color w:val="000000"/>
                <w:kern w:val="0"/>
                <w:sz w:val="20"/>
                <w:szCs w:val="20"/>
              </w:rPr>
              <w:t>数（万元）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3219"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委托业务费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3219"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Arial"/>
                <w:color w:val="000000"/>
                <w:kern w:val="0"/>
                <w:sz w:val="20"/>
                <w:szCs w:val="20"/>
              </w:rPr>
            </w:pPr>
            <w:r>
              <w:rPr>
                <w:rFonts w:ascii="宋体" w:hAnsi="宋体" w:eastAsia="宋体" w:cs="宋体"/>
                <w:color w:val="000000"/>
                <w:sz w:val="20"/>
                <w:u w:val="none"/>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96%</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协审项目数量</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=1个</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1个</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协审报告审核通过率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成本指标</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时效制标</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协审结果运用率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11.68</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报告及时性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11.66</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考核机制健全性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11.66</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sz w:val="22"/>
              </w:rPr>
              <w:t>80.4</w:t>
            </w:r>
          </w:p>
        </w:tc>
      </w:tr>
    </w:tbl>
    <w:p/>
    <w:tbl>
      <w:tblPr>
        <w:tblStyle w:val="5"/>
        <w:tblW w:w="8506" w:type="dxa"/>
        <w:tblInd w:w="-147" w:type="dxa"/>
        <w:tblLayout w:type="fixed"/>
        <w:tblCellMar>
          <w:top w:w="0" w:type="dxa"/>
          <w:left w:w="0" w:type="dxa"/>
          <w:bottom w:w="0" w:type="dxa"/>
          <w:right w:w="0" w:type="dxa"/>
        </w:tblCellMar>
      </w:tblPr>
      <w:tblGrid>
        <w:gridCol w:w="1547"/>
        <w:gridCol w:w="840"/>
        <w:gridCol w:w="960"/>
        <w:gridCol w:w="960"/>
        <w:gridCol w:w="960"/>
        <w:gridCol w:w="960"/>
        <w:gridCol w:w="960"/>
        <w:gridCol w:w="1319"/>
      </w:tblGrid>
      <w:tr>
        <w:tblPrEx>
          <w:tblLayout w:type="fixed"/>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eastAsia="黑体"/>
                <w:color w:val="000000"/>
                <w:kern w:val="0"/>
                <w:sz w:val="21"/>
                <w:szCs w:val="21"/>
                <w:highlight w:val="yellow"/>
              </w:rPr>
              <w:t>填表说明：</w:t>
            </w:r>
            <w:r>
              <w:rPr>
                <w:rFonts w:hint="eastAsia" w:eastAsia="楷体_GB2312"/>
                <w:b/>
                <w:color w:val="000000"/>
                <w:kern w:val="0"/>
                <w:sz w:val="21"/>
                <w:szCs w:val="21"/>
                <w:highlight w:val="yellow"/>
              </w:rPr>
              <w:t>1．</w:t>
            </w:r>
            <w:r>
              <w:rPr>
                <w:rFonts w:hint="eastAsia" w:eastAsia="楷体_GB2312"/>
                <w:color w:val="000000"/>
                <w:kern w:val="0"/>
                <w:sz w:val="21"/>
                <w:szCs w:val="21"/>
                <w:highlight w:val="yellow"/>
              </w:rPr>
              <w:t>“年初预算数”填</w:t>
            </w:r>
            <w:r>
              <w:rPr>
                <w:rFonts w:hint="eastAsia" w:eastAsia="楷体_GB2312"/>
                <w:color w:val="000000"/>
                <w:kern w:val="0"/>
                <w:sz w:val="21"/>
                <w:szCs w:val="21"/>
                <w:highlight w:val="yellow"/>
                <w:lang w:eastAsia="zh-CN"/>
              </w:rPr>
              <w:t>预算批复</w:t>
            </w:r>
            <w:r>
              <w:rPr>
                <w:rFonts w:hint="eastAsia" w:eastAsia="楷体_GB2312"/>
                <w:color w:val="000000"/>
                <w:kern w:val="0"/>
                <w:sz w:val="21"/>
                <w:szCs w:val="21"/>
                <w:highlight w:val="yellow"/>
              </w:rPr>
              <w:t>数；“当年使用上年结余、结转及当年预算</w:t>
            </w:r>
            <w:r>
              <w:rPr>
                <w:rFonts w:hint="eastAsia" w:eastAsia="楷体_GB2312"/>
                <w:color w:val="000000"/>
                <w:kern w:val="0"/>
                <w:sz w:val="21"/>
                <w:szCs w:val="21"/>
                <w:highlight w:val="yellow"/>
                <w:lang w:val="en-US" w:eastAsia="zh-CN"/>
              </w:rPr>
              <w:t>追加追减</w:t>
            </w:r>
            <w:r>
              <w:rPr>
                <w:rFonts w:hint="eastAsia" w:eastAsia="楷体_GB2312"/>
                <w:color w:val="000000"/>
                <w:kern w:val="0"/>
                <w:sz w:val="21"/>
                <w:szCs w:val="21"/>
                <w:highlight w:val="yellow"/>
              </w:rPr>
              <w:t>数”填当年使用上年结余、结转数以及追加或</w:t>
            </w:r>
            <w:r>
              <w:rPr>
                <w:rFonts w:hint="eastAsia" w:eastAsia="楷体_GB2312"/>
                <w:color w:val="000000"/>
                <w:kern w:val="0"/>
                <w:sz w:val="21"/>
                <w:szCs w:val="21"/>
                <w:highlight w:val="yellow"/>
                <w:lang w:val="en-US" w:eastAsia="zh-CN"/>
              </w:rPr>
              <w:t>追减</w:t>
            </w:r>
            <w:r>
              <w:rPr>
                <w:rFonts w:hint="eastAsia" w:eastAsia="楷体_GB2312"/>
                <w:color w:val="000000"/>
                <w:kern w:val="0"/>
                <w:sz w:val="21"/>
                <w:szCs w:val="21"/>
                <w:highlight w:val="yellow"/>
              </w:rPr>
              <w:t>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w:t>
            </w:r>
            <w:r>
              <w:rPr>
                <w:rFonts w:hint="eastAsia" w:eastAsia="楷体_GB2312"/>
                <w:color w:val="000000"/>
                <w:kern w:val="0"/>
                <w:sz w:val="21"/>
                <w:szCs w:val="21"/>
                <w:highlight w:val="yellow"/>
                <w:lang w:val="en-US" w:eastAsia="zh-CN"/>
              </w:rPr>
              <w:t>追加追减</w:t>
            </w:r>
            <w:r>
              <w:rPr>
                <w:rFonts w:hint="eastAsia" w:eastAsia="楷体_GB2312"/>
                <w:color w:val="000000"/>
                <w:kern w:val="0"/>
                <w:sz w:val="21"/>
                <w:szCs w:val="21"/>
                <w:highlight w:val="yellow"/>
              </w:rPr>
              <w:t>数-财政拨款数；</w:t>
            </w:r>
            <w:r>
              <w:rPr>
                <w:rFonts w:hint="eastAsia" w:eastAsia="楷体_GB2312"/>
                <w:color w:val="000000"/>
                <w:kern w:val="0"/>
                <w:sz w:val="21"/>
                <w:szCs w:val="21"/>
                <w:highlight w:val="yellow"/>
                <w:lang w:val="en-US" w:eastAsia="zh-CN"/>
              </w:rPr>
              <w:t>计划结余数</w:t>
            </w:r>
            <w:r>
              <w:rPr>
                <w:rFonts w:hint="eastAsia" w:eastAsia="楷体_GB2312"/>
                <w:color w:val="000000"/>
                <w:kern w:val="0"/>
                <w:sz w:val="21"/>
                <w:szCs w:val="21"/>
                <w:highlight w:val="yellow"/>
              </w:rPr>
              <w:t>=财政拨款数-实际支付数=</w:t>
            </w:r>
            <w:r>
              <w:rPr>
                <w:rFonts w:hint="eastAsia" w:eastAsia="楷体_GB2312"/>
                <w:color w:val="000000"/>
                <w:kern w:val="0"/>
                <w:sz w:val="21"/>
                <w:szCs w:val="21"/>
                <w:highlight w:val="yellow"/>
                <w:lang w:val="en-US" w:eastAsia="zh-CN"/>
              </w:rPr>
              <w:t>计划</w:t>
            </w:r>
            <w:r>
              <w:rPr>
                <w:rFonts w:hint="eastAsia" w:eastAsia="楷体_GB2312"/>
                <w:color w:val="000000"/>
                <w:kern w:val="0"/>
                <w:sz w:val="21"/>
                <w:szCs w:val="21"/>
                <w:highlight w:val="yellow"/>
              </w:rPr>
              <w:t>结转数+财政收回数。</w:t>
            </w:r>
            <w:r>
              <w:rPr>
                <w:rFonts w:hint="eastAsia" w:eastAsia="楷体_GB2312"/>
                <w:b/>
                <w:color w:val="000000"/>
                <w:kern w:val="0"/>
                <w:sz w:val="21"/>
                <w:szCs w:val="21"/>
                <w:highlight w:val="yellow"/>
                <w:lang w:val="en-US" w:eastAsia="zh-CN"/>
              </w:rPr>
              <w:t>2</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决策</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、“过程”</w:t>
            </w:r>
            <w:r>
              <w:rPr>
                <w:rFonts w:hint="eastAsia" w:eastAsia="楷体_GB2312"/>
                <w:color w:val="000000"/>
                <w:kern w:val="0"/>
                <w:sz w:val="21"/>
                <w:szCs w:val="21"/>
                <w:highlight w:val="yellow"/>
              </w:rPr>
              <w:t>类指标</w:t>
            </w:r>
            <w:r>
              <w:rPr>
                <w:rFonts w:hint="eastAsia" w:eastAsia="楷体_GB2312"/>
                <w:color w:val="000000"/>
                <w:kern w:val="0"/>
                <w:sz w:val="21"/>
                <w:szCs w:val="21"/>
                <w:highlight w:val="yellow"/>
                <w:lang w:eastAsia="zh-CN"/>
              </w:rPr>
              <w:t>每个指标的权重值固定</w:t>
            </w:r>
            <w:r>
              <w:rPr>
                <w:rFonts w:hint="eastAsia" w:eastAsia="楷体_GB2312"/>
                <w:color w:val="000000"/>
                <w:kern w:val="0"/>
                <w:sz w:val="21"/>
                <w:szCs w:val="21"/>
                <w:highlight w:val="yellow"/>
              </w:rPr>
              <w:t>，“产出”、“</w:t>
            </w:r>
            <w:r>
              <w:rPr>
                <w:rFonts w:hint="eastAsia" w:eastAsia="楷体_GB2312"/>
                <w:color w:val="000000"/>
                <w:kern w:val="0"/>
                <w:sz w:val="21"/>
                <w:szCs w:val="21"/>
                <w:highlight w:val="yellow"/>
                <w:lang w:eastAsia="zh-CN"/>
              </w:rPr>
              <w:t>效益</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满意度</w:t>
            </w:r>
            <w:r>
              <w:rPr>
                <w:rFonts w:hint="eastAsia" w:eastAsia="楷体_GB2312"/>
                <w:color w:val="000000"/>
                <w:kern w:val="0"/>
                <w:sz w:val="21"/>
                <w:szCs w:val="21"/>
                <w:highlight w:val="yellow"/>
              </w:rPr>
              <w:t>”指标权重值是根据指标数量将</w:t>
            </w:r>
            <w:r>
              <w:rPr>
                <w:rFonts w:hint="eastAsia" w:eastAsia="楷体_GB2312"/>
                <w:color w:val="000000"/>
                <w:kern w:val="0"/>
                <w:sz w:val="21"/>
                <w:szCs w:val="21"/>
                <w:highlight w:val="yellow"/>
                <w:lang w:val="en-US" w:eastAsia="zh-CN"/>
              </w:rPr>
              <w:t>每类</w:t>
            </w:r>
            <w:r>
              <w:rPr>
                <w:rFonts w:hint="eastAsia" w:eastAsia="楷体_GB2312"/>
                <w:color w:val="000000"/>
                <w:kern w:val="0"/>
                <w:sz w:val="21"/>
                <w:szCs w:val="21"/>
                <w:highlight w:val="yellow"/>
                <w:lang w:eastAsia="zh-CN"/>
              </w:rPr>
              <w:t>指标总</w:t>
            </w:r>
            <w:r>
              <w:rPr>
                <w:rFonts w:hint="eastAsia" w:eastAsia="楷体_GB2312"/>
                <w:color w:val="000000"/>
                <w:kern w:val="0"/>
                <w:sz w:val="21"/>
                <w:szCs w:val="21"/>
                <w:highlight w:val="yellow"/>
              </w:rPr>
              <w:t>分值分摊到各项指标，即各项指标分值=</w:t>
            </w:r>
            <w:r>
              <w:rPr>
                <w:rFonts w:hint="eastAsia" w:eastAsia="楷体_GB2312"/>
                <w:color w:val="000000"/>
                <w:kern w:val="0"/>
                <w:sz w:val="21"/>
                <w:szCs w:val="21"/>
                <w:highlight w:val="yellow"/>
                <w:lang w:val="en-US" w:eastAsia="zh-CN"/>
              </w:rPr>
              <w:t>每类</w:t>
            </w:r>
            <w:r>
              <w:rPr>
                <w:rFonts w:hint="eastAsia" w:eastAsia="楷体_GB2312"/>
                <w:color w:val="000000"/>
                <w:kern w:val="0"/>
                <w:sz w:val="21"/>
                <w:szCs w:val="21"/>
                <w:highlight w:val="yellow"/>
                <w:lang w:eastAsia="zh-CN"/>
              </w:rPr>
              <w:t>指标</w:t>
            </w:r>
            <w:r>
              <w:rPr>
                <w:rFonts w:hint="eastAsia" w:eastAsia="楷体_GB2312"/>
                <w:color w:val="000000"/>
                <w:kern w:val="0"/>
                <w:sz w:val="21"/>
                <w:szCs w:val="21"/>
                <w:highlight w:val="yellow"/>
              </w:rPr>
              <w:t>总分值/</w:t>
            </w:r>
            <w:r>
              <w:rPr>
                <w:rFonts w:hint="eastAsia" w:eastAsia="楷体_GB2312"/>
                <w:color w:val="000000"/>
                <w:kern w:val="0"/>
                <w:sz w:val="21"/>
                <w:szCs w:val="21"/>
                <w:highlight w:val="yellow"/>
                <w:lang w:val="en-US" w:eastAsia="zh-CN"/>
              </w:rPr>
              <w:t>该类</w:t>
            </w:r>
            <w:r>
              <w:rPr>
                <w:rFonts w:hint="eastAsia" w:eastAsia="楷体_GB2312"/>
                <w:color w:val="000000"/>
                <w:kern w:val="0"/>
                <w:sz w:val="21"/>
                <w:szCs w:val="21"/>
                <w:highlight w:val="yellow"/>
              </w:rPr>
              <w:t>指标个数。</w:t>
            </w:r>
            <w:r>
              <w:rPr>
                <w:rFonts w:hint="eastAsia" w:eastAsia="楷体_GB2312"/>
                <w:b/>
                <w:color w:val="000000"/>
                <w:kern w:val="0"/>
                <w:sz w:val="21"/>
                <w:szCs w:val="21"/>
                <w:highlight w:val="yellow"/>
                <w:lang w:val="en-US" w:eastAsia="zh-CN"/>
              </w:rPr>
              <w:t>3</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各项数据采集的时间节点均为202</w:t>
            </w:r>
            <w:r>
              <w:rPr>
                <w:rFonts w:hint="eastAsia" w:eastAsia="楷体_GB2312"/>
                <w:color w:val="000000"/>
                <w:kern w:val="0"/>
                <w:sz w:val="21"/>
                <w:szCs w:val="21"/>
                <w:highlight w:val="yellow"/>
                <w:lang w:val="en-US" w:eastAsia="zh-CN"/>
              </w:rPr>
              <w:t>4</w:t>
            </w:r>
            <w:r>
              <w:rPr>
                <w:rFonts w:hint="eastAsia" w:eastAsia="楷体_GB2312"/>
                <w:color w:val="000000"/>
                <w:kern w:val="0"/>
                <w:sz w:val="21"/>
                <w:szCs w:val="21"/>
                <w:highlight w:val="yellow"/>
              </w:rPr>
              <w:t>年12月31日。</w:t>
            </w:r>
            <w:r>
              <w:rPr>
                <w:rFonts w:hint="eastAsia" w:eastAsia="楷体_GB2312"/>
                <w:b/>
                <w:color w:val="000000"/>
                <w:kern w:val="0"/>
                <w:sz w:val="21"/>
                <w:szCs w:val="21"/>
                <w:highlight w:val="yellow"/>
                <w:lang w:val="en-US" w:eastAsia="zh-CN"/>
              </w:rPr>
              <w:t>4</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定性指标</w:t>
            </w:r>
            <w:r>
              <w:rPr>
                <w:rFonts w:hint="eastAsia" w:eastAsia="楷体_GB2312"/>
                <w:color w:val="000000"/>
                <w:kern w:val="0"/>
                <w:sz w:val="21"/>
                <w:szCs w:val="21"/>
                <w:highlight w:val="yellow"/>
                <w:lang w:eastAsia="zh-CN"/>
              </w:rPr>
              <w:t>根据实际完成情况按照</w:t>
            </w:r>
            <w:r>
              <w:rPr>
                <w:rFonts w:hint="eastAsia" w:eastAsia="楷体_GB2312"/>
                <w:color w:val="000000"/>
                <w:kern w:val="0"/>
                <w:sz w:val="21"/>
                <w:szCs w:val="21"/>
                <w:highlight w:val="yellow"/>
              </w:rPr>
              <w:t>100%、80%、60%、40%</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rPr>
              <w:t>20%</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lang w:val="en-US" w:eastAsia="zh-CN"/>
              </w:rPr>
              <w:t>0六级权重予以评分</w:t>
            </w:r>
            <w:r>
              <w:rPr>
                <w:rFonts w:hint="eastAsia" w:eastAsia="楷体_GB2312"/>
                <w:color w:val="000000"/>
                <w:kern w:val="0"/>
                <w:sz w:val="21"/>
                <w:szCs w:val="21"/>
                <w:highlight w:val="yellow"/>
              </w:rPr>
              <w:t>。定量指标评分规则：“产出”类每项指标的实际完成值对应预期设定的目标值，完成100%～130%得权重值满分，超过130%的每超过1%扣权重值1%；</w:t>
            </w:r>
            <w:r>
              <w:rPr>
                <w:rFonts w:hint="eastAsia" w:eastAsia="楷体_GB2312"/>
                <w:color w:val="000000"/>
                <w:kern w:val="0"/>
                <w:sz w:val="21"/>
                <w:szCs w:val="21"/>
                <w:highlight w:val="yellow"/>
                <w:lang w:eastAsia="zh-CN"/>
              </w:rPr>
              <w:t>“决策”、</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过程</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满意度</w:t>
            </w:r>
            <w:r>
              <w:rPr>
                <w:rFonts w:hint="eastAsia" w:eastAsia="楷体_GB2312"/>
                <w:color w:val="000000"/>
                <w:kern w:val="0"/>
                <w:sz w:val="21"/>
                <w:szCs w:val="21"/>
                <w:highlight w:val="yellow"/>
              </w:rPr>
              <w:t>”类指标以100%为满分</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效益</w:t>
            </w:r>
            <w:r>
              <w:rPr>
                <w:rFonts w:hint="eastAsia" w:eastAsia="楷体_GB2312"/>
                <w:color w:val="000000"/>
                <w:kern w:val="0"/>
                <w:sz w:val="21"/>
                <w:szCs w:val="21"/>
                <w:highlight w:val="yellow"/>
              </w:rPr>
              <w:t>”类每项指标的实际完成值对应预期设定的目标值，完成100%～200%得权重值满分，超过200%的每超过1%扣权重值1%；</w:t>
            </w:r>
            <w:r>
              <w:rPr>
                <w:rFonts w:hint="eastAsia" w:eastAsia="楷体_GB2312"/>
                <w:color w:val="000000"/>
                <w:kern w:val="0"/>
                <w:sz w:val="21"/>
                <w:szCs w:val="21"/>
                <w:highlight w:val="yellow"/>
                <w:lang w:eastAsia="zh-CN"/>
              </w:rPr>
              <w:t>五</w:t>
            </w:r>
            <w:r>
              <w:rPr>
                <w:rFonts w:hint="eastAsia" w:eastAsia="楷体_GB2312"/>
                <w:color w:val="000000"/>
                <w:kern w:val="0"/>
                <w:sz w:val="21"/>
                <w:szCs w:val="21"/>
                <w:highlight w:val="yellow"/>
              </w:rPr>
              <w:t>类指标的所有指标实际完成值每低于目标值1个百分点相应扣减权重值的5%；某项指标无法提供具体数值，且无说明，得0分。</w:t>
            </w:r>
          </w:p>
        </w:tc>
      </w:tr>
      <w:tr>
        <w:tblPrEx>
          <w:tblLayout w:type="fixed"/>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center"/>
              <w:rPr>
                <w:rFonts w:cs="Arial"/>
                <w:b/>
                <w:bCs/>
                <w:color w:val="000000"/>
                <w:sz w:val="36"/>
                <w:szCs w:val="36"/>
              </w:rPr>
            </w:pPr>
            <w:r>
              <w:rPr>
                <w:rFonts w:hint="eastAsia" w:cs="Arial"/>
                <w:b/>
                <w:bCs/>
                <w:color w:val="000000"/>
                <w:sz w:val="36"/>
                <w:szCs w:val="36"/>
              </w:rPr>
              <w:t>项目基本情况</w:t>
            </w:r>
          </w:p>
        </w:tc>
      </w:tr>
      <w:tr>
        <w:tblPrEx>
          <w:tblLayout w:type="fixed"/>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对下属事业单位苏州市生产力促进中心负责人王怡同志进行任期经济责任审计</w:t>
            </w:r>
          </w:p>
        </w:tc>
      </w:tr>
      <w:tr>
        <w:tblPrEx>
          <w:tblLayout w:type="fixed"/>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加强干部监督管理、从源头上预防和治理腐败、促进领导干部廉洁勤政、加强对领导干部的监督、促进依法治国</w:t>
            </w:r>
          </w:p>
        </w:tc>
      </w:tr>
      <w:tr>
        <w:tblPrEx>
          <w:tblLayout w:type="fixed"/>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加强干部监督管理、从源头上预防和治理腐败、促进领导干部廉洁勤政、加强对领导干部的监督、促进依法治国</w:t>
            </w:r>
          </w:p>
        </w:tc>
      </w:tr>
      <w:tr>
        <w:tblPrEx>
          <w:tblLayout w:type="fixed"/>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及时有效完成审计工作</w:t>
            </w:r>
          </w:p>
        </w:tc>
      </w:tr>
      <w:tr>
        <w:tblPrEx>
          <w:tblLayout w:type="fixed"/>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加强干部监督管理、从源头上预防和治理腐败、促进领导干部廉洁勤政、加强对领导干部的监督、促进依法治国</w:t>
            </w:r>
          </w:p>
        </w:tc>
      </w:tr>
      <w:tr>
        <w:tblPrEx>
          <w:tblLayout w:type="fixed"/>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无</w:t>
            </w:r>
          </w:p>
        </w:tc>
      </w:tr>
      <w:tr>
        <w:tblPrEx>
          <w:tblLayout w:type="fixed"/>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无</w:t>
            </w:r>
          </w:p>
        </w:tc>
      </w:tr>
      <w:tr>
        <w:tblPrEx>
          <w:tblLayout w:type="fixed"/>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Arial" w:hAnsi="Arial" w:cs="Arial"/>
                <w:vanish/>
                <w:sz w:val="20"/>
                <w:szCs w:val="20"/>
              </w:rPr>
            </w:pPr>
          </w:p>
        </w:tc>
        <w:tc>
          <w:tcPr>
            <w:tcW w:w="1319"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Arial" w:hAnsi="Arial" w:cs="Arial"/>
                <w:vanish/>
                <w:sz w:val="20"/>
                <w:szCs w:val="20"/>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DAE"/>
    <w:rsid w:val="000227CC"/>
    <w:rsid w:val="00027583"/>
    <w:rsid w:val="0005797A"/>
    <w:rsid w:val="000A753F"/>
    <w:rsid w:val="000D6913"/>
    <w:rsid w:val="00135BA0"/>
    <w:rsid w:val="00146D27"/>
    <w:rsid w:val="00154572"/>
    <w:rsid w:val="001650C6"/>
    <w:rsid w:val="001865A9"/>
    <w:rsid w:val="001A45C6"/>
    <w:rsid w:val="00210D2C"/>
    <w:rsid w:val="0027417E"/>
    <w:rsid w:val="00277E96"/>
    <w:rsid w:val="00295EA9"/>
    <w:rsid w:val="002F132B"/>
    <w:rsid w:val="00320B72"/>
    <w:rsid w:val="003309F6"/>
    <w:rsid w:val="003311D3"/>
    <w:rsid w:val="00371193"/>
    <w:rsid w:val="003D5254"/>
    <w:rsid w:val="00421DBC"/>
    <w:rsid w:val="00422096"/>
    <w:rsid w:val="00444045"/>
    <w:rsid w:val="00465368"/>
    <w:rsid w:val="00477DDF"/>
    <w:rsid w:val="00507C7E"/>
    <w:rsid w:val="005365FF"/>
    <w:rsid w:val="005530C8"/>
    <w:rsid w:val="005A4855"/>
    <w:rsid w:val="005B3C15"/>
    <w:rsid w:val="00610E39"/>
    <w:rsid w:val="0063349A"/>
    <w:rsid w:val="0063730A"/>
    <w:rsid w:val="00655009"/>
    <w:rsid w:val="00687228"/>
    <w:rsid w:val="006B065A"/>
    <w:rsid w:val="006B6173"/>
    <w:rsid w:val="006E5E74"/>
    <w:rsid w:val="00740A71"/>
    <w:rsid w:val="007471FF"/>
    <w:rsid w:val="007615B8"/>
    <w:rsid w:val="007615EF"/>
    <w:rsid w:val="0077550F"/>
    <w:rsid w:val="007905BA"/>
    <w:rsid w:val="007D410D"/>
    <w:rsid w:val="007E2F8B"/>
    <w:rsid w:val="00857DAE"/>
    <w:rsid w:val="008B69AC"/>
    <w:rsid w:val="0099571D"/>
    <w:rsid w:val="009B2F6A"/>
    <w:rsid w:val="009D2066"/>
    <w:rsid w:val="009D57D9"/>
    <w:rsid w:val="00A566D2"/>
    <w:rsid w:val="00A63BDD"/>
    <w:rsid w:val="00A8579E"/>
    <w:rsid w:val="00A919F2"/>
    <w:rsid w:val="00A970CD"/>
    <w:rsid w:val="00AB1312"/>
    <w:rsid w:val="00AB15D9"/>
    <w:rsid w:val="00AE42C0"/>
    <w:rsid w:val="00B10E19"/>
    <w:rsid w:val="00B15E35"/>
    <w:rsid w:val="00B6380C"/>
    <w:rsid w:val="00B869C7"/>
    <w:rsid w:val="00B948BC"/>
    <w:rsid w:val="00BE0B02"/>
    <w:rsid w:val="00BF549A"/>
    <w:rsid w:val="00C10620"/>
    <w:rsid w:val="00C37A85"/>
    <w:rsid w:val="00C87E85"/>
    <w:rsid w:val="00C9508A"/>
    <w:rsid w:val="00CD2CA9"/>
    <w:rsid w:val="00CE3F84"/>
    <w:rsid w:val="00CE6115"/>
    <w:rsid w:val="00CF3DEA"/>
    <w:rsid w:val="00D159A7"/>
    <w:rsid w:val="00D74E9C"/>
    <w:rsid w:val="00DC3C89"/>
    <w:rsid w:val="00DF4CEA"/>
    <w:rsid w:val="00E2688E"/>
    <w:rsid w:val="00E504B2"/>
    <w:rsid w:val="00E632B8"/>
    <w:rsid w:val="00E86A5D"/>
    <w:rsid w:val="00E9615F"/>
    <w:rsid w:val="00EA1C55"/>
    <w:rsid w:val="00EA7D5C"/>
    <w:rsid w:val="00EC507F"/>
    <w:rsid w:val="00F051B3"/>
    <w:rsid w:val="00F66D21"/>
    <w:rsid w:val="00F74F9B"/>
    <w:rsid w:val="00FD578E"/>
    <w:rsid w:val="119E68D5"/>
    <w:rsid w:val="5AE70A1F"/>
    <w:rsid w:val="70126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闻政标题4 Char"/>
    <w:link w:val="10"/>
    <w:qFormat/>
    <w:locked/>
    <w:uiPriority w:val="0"/>
    <w:rPr>
      <w:rFonts w:ascii="仿宋_GB2312" w:eastAsia="仿宋_GB2312"/>
      <w:b/>
      <w:bCs/>
      <w:sz w:val="28"/>
      <w:szCs w:val="32"/>
    </w:rPr>
  </w:style>
  <w:style w:type="paragraph" w:customStyle="1" w:styleId="10">
    <w:name w:val="闻政标题4"/>
    <w:basedOn w:val="2"/>
    <w:link w:val="9"/>
    <w:qFormat/>
    <w:uiPriority w:val="0"/>
    <w:pPr>
      <w:spacing w:before="120" w:after="60" w:line="500" w:lineRule="exact"/>
      <w:ind w:firstLine="200" w:firstLineChars="200"/>
      <w:jc w:val="left"/>
    </w:pPr>
    <w:rPr>
      <w:rFonts w:ascii="仿宋_GB2312" w:eastAsia="仿宋_GB2312" w:hAnsiTheme="minorHAnsi" w:cstheme="minorBidi"/>
      <w:sz w:val="28"/>
    </w:rPr>
  </w:style>
  <w:style w:type="character" w:customStyle="1" w:styleId="11">
    <w:name w:val="标题 2 Char"/>
    <w:basedOn w:val="6"/>
    <w:link w:val="2"/>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868</Words>
  <Characters>1418</Characters>
  <Lines>12</Lines>
  <Paragraphs>3</Paragraphs>
  <TotalTime>0</TotalTime>
  <ScaleCrop>false</ScaleCrop>
  <LinksUpToDate>false</LinksUpToDate>
  <CharactersWithSpaces>1418</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2022-01-12T10:53:00Z</dcterms:created>
  <dc:creator>成 王</dc:creator>
  <cp:lastModifiedBy>admin</cp:lastModifiedBy>
  <dcterms:modified xsi:type="dcterms:W3CDTF">2025-09-29T06:43:11Z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eyJoZGlkIjoiYjI2ZWIxNzBhOWM3YmNkMjVjMWZjMWQ2NzA4MDFlZmYiLCJ1c2VySWQiOiIxNDU0MjIwNjc4In0=</vt:lpwstr>
  </property>
  <property fmtid="{D5CDD505-2E9C-101B-9397-08002B2CF9AE}" pid="3" name="KSOProductBuildVer">
    <vt:lpwstr>2052-11.8.2.8696</vt:lpwstr>
  </property>
  <property fmtid="{D5CDD505-2E9C-101B-9397-08002B2CF9AE}" pid="4" name="ICV">
    <vt:lpwstr>9F669C4FED13413589140FF1E65A5D7A_12</vt:lpwstr>
  </property>
</Properties>
</file>