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0"/>
        </w:rPr>
      </w:pPr>
    </w:p>
    <w:p>
      <w:pPr>
        <w:spacing w:line="360" w:lineRule="auto"/>
        <w:jc w:val="center"/>
        <w:rPr>
          <w:rFonts w:ascii="黑体" w:hAnsi="黑体" w:eastAsia="黑体"/>
          <w:sz w:val="32"/>
          <w:szCs w:val="32"/>
        </w:rPr>
      </w:pPr>
      <w:r>
        <w:rPr>
          <w:rFonts w:hint="eastAsia" w:ascii="黑体" w:hAnsi="黑体" w:eastAsia="黑体"/>
          <w:sz w:val="32"/>
          <w:szCs w:val="32"/>
        </w:rPr>
        <w:t>苏州市市级预算部门（单位）整体支出预算绩效自评报告</w:t>
      </w:r>
    </w:p>
    <w:p>
      <w:pPr>
        <w:spacing w:line="360" w:lineRule="auto"/>
        <w:jc w:val="center"/>
        <w:rPr>
          <w:rFonts w:ascii="黑体" w:eastAsia="黑体"/>
          <w:sz w:val="32"/>
          <w:szCs w:val="32"/>
        </w:rPr>
      </w:pPr>
      <w:r>
        <w:rPr>
          <w:rFonts w:hint="eastAsia" w:ascii="黑体" w:eastAsia="黑体"/>
          <w:sz w:val="32"/>
          <w:szCs w:val="32"/>
        </w:rPr>
        <w:t>（2022年度）</w:t>
      </w:r>
    </w:p>
    <w:p>
      <w:pPr>
        <w:spacing w:line="360" w:lineRule="auto"/>
        <w:jc w:val="center"/>
        <w:rPr>
          <w:rFonts w:eastAsia="仿宋_GB2312"/>
          <w:sz w:val="30"/>
        </w:rPr>
      </w:pPr>
    </w:p>
    <w:p>
      <w:pPr>
        <w:spacing w:line="360" w:lineRule="auto"/>
        <w:ind w:firstLine="600" w:firstLineChars="200"/>
        <w:rPr>
          <w:rFonts w:hint="default" w:ascii="黑体" w:hAnsi="黑体" w:eastAsia="黑体"/>
          <w:sz w:val="30"/>
          <w:lang w:val="en-US" w:eastAsia="zh-CN"/>
        </w:rPr>
      </w:pPr>
      <w:r>
        <w:rPr>
          <w:rFonts w:hint="eastAsia" w:ascii="黑体" w:hAnsi="黑体" w:eastAsia="黑体"/>
          <w:sz w:val="30"/>
          <w:lang w:val="en-US" w:eastAsia="zh-CN"/>
        </w:rPr>
        <w:t>一、预算部门名称：</w:t>
      </w:r>
      <w:r>
        <w:rPr>
          <w:rFonts w:hint="eastAsia" w:ascii="宋体" w:hAnsi="宋体" w:eastAsia="宋体" w:cs="宋体"/>
          <w:sz w:val="24"/>
          <w:szCs w:val="24"/>
          <w:lang w:val="en-US" w:eastAsia="zh-CN"/>
        </w:rPr>
        <w:t>苏州市科技服务中心</w:t>
      </w:r>
    </w:p>
    <w:p>
      <w:pPr>
        <w:spacing w:line="360" w:lineRule="auto"/>
        <w:ind w:firstLine="600" w:firstLineChars="200"/>
        <w:rPr>
          <w:rFonts w:hint="eastAsia" w:ascii="黑体" w:hAnsi="黑体" w:eastAsia="黑体"/>
          <w:sz w:val="30"/>
          <w:lang w:val="en-US" w:eastAsia="zh-CN"/>
        </w:rPr>
      </w:pPr>
      <w:r>
        <w:rPr>
          <w:rFonts w:hint="eastAsia" w:ascii="黑体" w:hAnsi="黑体" w:eastAsia="黑体"/>
          <w:sz w:val="30"/>
          <w:lang w:val="en-US" w:eastAsia="zh-CN"/>
        </w:rPr>
        <w:t>二、</w:t>
      </w:r>
      <w:r>
        <w:rPr>
          <w:rFonts w:hint="default" w:ascii="黑体" w:hAnsi="黑体" w:eastAsia="黑体"/>
          <w:sz w:val="30"/>
          <w:lang w:val="en-US" w:eastAsia="zh-CN"/>
        </w:rPr>
        <w:t>年度履职目标完成情况</w:t>
      </w:r>
      <w:r>
        <w:rPr>
          <w:rFonts w:hint="eastAsia" w:ascii="黑体" w:hAnsi="黑体" w:eastAsia="黑体"/>
          <w:sz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科技情报服务：启动并完成《科创调研》策划编辑12期、产业研究报告超6篇，其中4篇获市领导批示；市科技咨询服务平台会员达5284家，年文献下载量超5万条，受理各类情报咨询超500项；完成2021年度《科技纵览》编撰工作。2.科技人才服务：全年受理各级各类科技人才项目超1200项，组织人才各类政策解答服务企业超1000家次；以市领军人才联合会为抓手，结合“科创360·小科帮你解难题”党建服务品牌建设，针对人才企业的不同需求，组织开展靶向主题活动超12场，服务人才企业超800家次。3.创新创业服务：以市双创中心为抓手，结合“科创360？创新创业会客厅”党建服务品牌建设，全年引进并孵化创新创业项目30个，引进创投机构或天使基金超2家，承接、支持各部门相关路演活动超15场次，并成功举办2022年“双创天堂”苏州青年科技创业大赛，助力全市科技招商。4.科技项目服务：全年受理各级各类科技项目约50小类近13000项，组织评审会近40场，邀请专家超600人次，配合局机关相关处室做好项目验收、实地考察、调研座谈、项目咨询、政策解读等工作。5.科技统计服务：完成国家、省、市三级50小类科技统计与监测工作，汇总、审核企业报表超2万家次；完成《苏州市科技数据监测快报》《苏州市科技统计数据汇编》编纂工作及相关统计分析工作。6.科技评估服务：做好2022年市高企培育认定出库、到期出库等工作，以及2021年市级独角兽培育企业后补助评估和2022年市级独角兽企业培育项目受理工作；完成省科技咨询专家库专家征集及已入库专家信息更新工作，市级科技专家库维护有序推进。7.科技信息化服务：开展安全检查、等保测评、日常维护等工作，对科技统一管理平台进行功能开发及优化调整14项，为超7500个科技项目的在线管理提供技术支持，科技局8个平台迁入政务云、5个业务平台接入苏商通。</w:t>
      </w:r>
    </w:p>
    <w:p>
      <w:pPr>
        <w:numPr>
          <w:ilvl w:val="0"/>
          <w:numId w:val="0"/>
        </w:numPr>
        <w:spacing w:line="360" w:lineRule="auto"/>
        <w:ind w:left="600" w:leftChars="0"/>
        <w:rPr>
          <w:rFonts w:ascii="黑体" w:hAnsi="黑体" w:eastAsia="黑体"/>
          <w:sz w:val="30"/>
        </w:rPr>
      </w:pPr>
      <w:r>
        <w:rPr>
          <w:rFonts w:hint="eastAsia" w:ascii="黑体" w:hAnsi="黑体" w:eastAsia="黑体"/>
          <w:sz w:val="30"/>
          <w:lang w:val="en-US" w:eastAsia="zh-CN"/>
        </w:rPr>
        <w:t>三、</w:t>
      </w:r>
      <w:r>
        <w:rPr>
          <w:rFonts w:hint="eastAsia" w:ascii="黑体" w:hAnsi="黑体" w:eastAsia="黑体"/>
          <w:sz w:val="30"/>
        </w:rPr>
        <w:t>部门（单位）概况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州市科技服务中心（姑苏人才计划服务中心、苏州市科技情报研究所）是市科学技术局直属公益一类副处级全额拨款事业单位，主要从事科技情报服务与产业研究、科技人才服务、市双创中心建设与运营管理、科技项目受理及评审、科技统计与分析研究、科技评估与评价、科技信息化建设与运维等工作。主要职能包括：1.承担国家、省、市级科技人才项目的申报受理及评审的组织工作，负责苏州市领军人才联合会日常管理等工作。2.承担国家、省、市科技项目的申报受理、形式审查、专家邀请、合同管理等工作；承担市级科技项目评审、省级科技项目初评的组织工作；负责技术先进型服务企业等申报受理工作。3.承担国家、省、市科技统计工作；开展相关专项统计工作；负责《苏州市科技统计数据汇编》编辑出版工作；开展科技统计分析研究工作。4.组织开展科技政策、新兴产业发展、技术预测、专利分析、竞争情报等研究工作；开展科技服务业研究工作；负责《科创调研》和《苏州科技纵览》编撰工作；承担科技咨询服务平台建设工作；负责科技文献资源的收集、整理、加工等工作；开展科技查新、成果评价、定题检索、标准有效性查证、原文传递、论文收录及引用查询等科技服务工作。5.负责科技系统信息化技术支撑及运行维护等工作；承担市科技局门户网站建设相关工作；负责科技计划项目管理系统的开发、运行、维护和培训等工作；负责科技咨询服务平台维护工作。6.承担市级科技计划项目的评估评价管理工作；负责科技计划项目的中期检查、滚动支持、结题验收等工作；承担实验动物生产及使用许可证的申报、年检工作，组织开展实验动物从业人员上岗资格培训和考试工作；负责市科技进步奖、内外资研发机构等申报受理工作，负责专家库建设与维护工作。7.承担苏州市双创中心建设、科技招商和运营管理工作；承担苏州市双创中心线上服务平台建设和运维工作；为入驻企业提供工商企业注册、创新创业培训指导、科技政策解读等服务。本单位内设科室8个，包括办公室、科技情报科（产业促进科）、科技人才科、科技评估科（项目服务科）、高新技术服务科、科技统计科、科技信息科、双创服务科。本单位无下属单位。2022年底，服务中心事业编制43名，在职42人；公益性编制4名，在职3人。</w:t>
      </w:r>
    </w:p>
    <w:p>
      <w:pPr>
        <w:numPr>
          <w:ilvl w:val="0"/>
          <w:numId w:val="0"/>
        </w:numPr>
        <w:spacing w:line="360" w:lineRule="auto"/>
        <w:ind w:left="600" w:leftChars="0"/>
        <w:rPr>
          <w:rFonts w:ascii="黑体" w:hAnsi="黑体" w:eastAsia="黑体"/>
          <w:sz w:val="30"/>
        </w:rPr>
      </w:pPr>
      <w:r>
        <w:rPr>
          <w:rFonts w:hint="eastAsia" w:ascii="黑体" w:hAnsi="黑体" w:eastAsia="黑体"/>
          <w:sz w:val="30"/>
          <w:lang w:val="en-US" w:eastAsia="zh-CN"/>
        </w:rPr>
        <w:t>四、</w:t>
      </w:r>
      <w:r>
        <w:rPr>
          <w:rFonts w:hint="eastAsia" w:ascii="黑体" w:hAnsi="黑体" w:eastAsia="黑体"/>
          <w:sz w:val="30"/>
        </w:rPr>
        <w:t>部门</w:t>
      </w:r>
      <w:r>
        <w:rPr>
          <w:rFonts w:ascii="黑体" w:hAnsi="黑体" w:eastAsia="黑体"/>
          <w:sz w:val="30"/>
        </w:rPr>
        <w:t>（</w:t>
      </w:r>
      <w:r>
        <w:rPr>
          <w:rFonts w:hint="eastAsia" w:ascii="黑体" w:hAnsi="黑体" w:eastAsia="黑体"/>
          <w:sz w:val="30"/>
        </w:rPr>
        <w:t>单位</w:t>
      </w:r>
      <w:r>
        <w:rPr>
          <w:rFonts w:ascii="黑体" w:hAnsi="黑体" w:eastAsia="黑体"/>
          <w:sz w:val="30"/>
        </w:rPr>
        <w:t>）</w:t>
      </w:r>
      <w:r>
        <w:rPr>
          <w:rFonts w:hint="eastAsia" w:ascii="黑体" w:hAnsi="黑体" w:eastAsia="黑体"/>
          <w:sz w:val="30"/>
        </w:rPr>
        <w:t>整体支出绩效实现情况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心按要求在规定时间内完成了部门整体支出预算、绩效目标的编制与申报，并如期完成决算报表；按要求在规定时间内在市科技局网站、预决算统一平台公示相关信息。2.不断建立和完善各项规章制度，制定《公务接待管理办法》，修订支出业务、差旅费管理、公务用车等制度，严格执行经费支出审批制度，紧盯用款、报销等关键环节，防范财务管理风险。3.承接局机关职能延伸。一是项目受理服务。全年受理省、市各类科技项目约50小类近15000项，组织线上线下评审会近40场，邀请专家超600人次；配合局机关相关处室做好项目验收、绩效评价、实地考察、调研座谈、动态检测等工作；配合完成外国人来华工作许可一级预审、决定审批2320件；做好各类科技政策、人才政策的线上线下宣传、解读、辅导等工作；配合局机关做好省科技咨询专家库专家征集及已入库专家信息更新工作，共受理46名企业专家的入库申请，完成526名已入库专家的信息更新工作，征集104位省高企认定专家上报省厅。二是统计与分析服务。完成国家、省、市级三级50小类科技统计工作，累计汇总、整理、审核表格超2万家次；每月重点监测9类反映苏州科技工作推进成效的指标并进行简要分析，并编印《苏州市科技数据监测快报》，支撑科技管理决策；完成2021年度全市科技工作统计数据报告、苏州市重点科技创新政策落实情况等统计分析工作；完成《2021年度苏州市科技统计数据汇编》编纂工作。三是科技信息化服务。做好网络安全检查和日常维护工作，完成安全专项检查、安全漏洞扫描、安全普查等的处理与上报工作；推动科技政务信息资源整合和数据共享，科技局8个平台全部迁入政务云，5个业务平台全部接入苏商通，科技统一管理平台与政务服务网实现系统对接；开发及优化调整科技统一管理平台功能，建设与完善项目查重、项目信用审查、统一认证对接等14项功能，在线管理22个大类97个子类科技计划的超7500个项目提供技术支持；完成国产化信息设备替换、OA系统等保测评、高企申报服务平台IPV6地址改造等工作。四是实验动物管理。配合完成36家单位44份实验动物许可证的年检工作；配合完成实验动物许可证新证申请、换证申请、延期及业务范围变更；组织2022年度省实验动物工作先进集体及先进个人申报工作；协助完成省级实验动物环境检测及质量抽查12家次、省级实验动物突发生物安全应急处置实操活动等工作。4.科技情报服务。为贯彻落实局机关对加强高质量科技情报工作的要求，加强情报工作在政府建言献策中的作用，启动《科创调研》策划编辑工作，构建“科技月报+调研报告+战略研究”内容体系，全年完成《科创调研》12期、产业研究报告超6篇，呈报市委、市政府，省、市及板块科技工作相关部门，及时展现和宣传我市创新企业、领军人才、载体平台、技术前沿、科技创新指标数据及机制体制改革新举措新思路，其中4篇获市领导批示。完成2021年度《科技纵览》编撰工作。依托苏州市科技咨询服务平台，开展期刊论文、产业情报、决策参考等科技信息服务，平台会员达5284家，访问量累计约600万次，年文献下载量超5万条，年度受理文献下载、标准咨询、有效性查证、科技查新等情报咨询服务超500项。做好苏州市科技创新服务联盟云端服务，及时了解会员需求，助力复工复产和经验交流，支持会员单位举办生产性服务业领军实操技巧、股权激励中个税及企业所得税税前处理等公益活动。5.科技人才服务。以苏州市领军人才联合会为抓手，针对人才企业各方面的需求，开展一系列品牌主题活动，为高层次人才提供精准、贴心的服务。组织苏州市高层次人才市情体验专线活动，共设置20线路，226组人才家庭、529人次参与活动，提升人才对苏州的全面认知和情感认同，不断优化“人到苏州必有为”的创新创业生态。以“人才服务推广年”为契机，结合“科创360·小科帮你解难题”党建服务品牌建设，组织开展靶向主题活动超12场，服务人才企业超800家次。针对人才企业融资难、融资贵等问题，开展线上线下金融对接服务，为创业期、成长期、成熟期等不同阶段的企业提供相应融资解决方案；针对科技人才企业招聘难题，积极与人社部门沟通，动员企业参加“校园苏州日”活动，引进重点高校的紧缺专业优秀毕业生；针对企业技术发展难题，通过走进行业标杆、龙头骨干企业等系列活动，链接产业上下游，帮助企业了解行业技术发展方向，实现项目或技术合作；针对企业项目申报经验不足问题，邀请专家进行企业项目辅导，提供申报材料规范整理、面试答辩辅导等服务。为增进领军人才与科技干部的互动交流，组织成立“新动力”科技跑团，首次开跑由市领导带队参加2022苏州“环太湖1号公路”马拉松比赛，全部22位参赛选手顺利完赛；举办2022年“苏州银行杯”苏州市领军人才羽毛球邀请赛，吸引40多家人才企业的24支代表队、近150名羽毛球爱好者参赛，在运动中搭建起人才、企业、机构之间的沟通渠道。6.创新创业服务。市双创中心作为市委市政府重点打造的招才引智平台，积极打造来苏创新创业第一站和中转站，加强与苏州十大板块联动，助力全市科技招商工作，已在张家港市、常熟市、太仓市、吴江区、吴中区、相城区、高新区建立县级市（区）分中心7个，“1+N”服务网络初具规模。着力打造“运河湾路演中心”，全年承接、支持来自科技、工信、人社、团委等各部门相关路演活动超15场次。举办2022年“双创天堂”苏州青年科技创业大赛，依托姑苏领军人才“青年领军专项”，聚焦青年人才引育，大赛企业组遴选出76个项目立项姑苏领军人才；储备项目组纳入苏州科技商学院“科创未来营”活动，由苏州十个板块科技局按照青年领军项目要求向外征集未落户项目，探索“1+1”（即一天集中培训，一天项目路演大赛）和“以训带评、以训促赛”模式，评选出24个“青年领军专项”未落户项目，目前已落户20个。充分发挥市级科技招才引智平台优势，全年引进并孵化创新创业项目30个，引进创投机构或天使基金超2家，推进各级领军人才与条线部门、科研院所、创投机构、行业协会的对接，加大学术、科研、产业发展等方面的交流。</w:t>
      </w:r>
    </w:p>
    <w:p>
      <w:pPr>
        <w:numPr>
          <w:ilvl w:val="0"/>
          <w:numId w:val="0"/>
        </w:numPr>
        <w:spacing w:line="360" w:lineRule="auto"/>
        <w:ind w:left="600" w:leftChars="0"/>
        <w:rPr>
          <w:rFonts w:ascii="黑体" w:hAnsi="黑体" w:eastAsia="黑体"/>
          <w:sz w:val="30"/>
        </w:rPr>
      </w:pPr>
      <w:r>
        <w:rPr>
          <w:rFonts w:hint="eastAsia" w:ascii="黑体" w:hAnsi="黑体" w:eastAsia="黑体"/>
          <w:sz w:val="30"/>
          <w:lang w:val="en-US" w:eastAsia="zh-CN"/>
        </w:rPr>
        <w:t>五、</w:t>
      </w:r>
      <w:r>
        <w:rPr>
          <w:rFonts w:hint="eastAsia" w:ascii="黑体" w:hAnsi="黑体" w:eastAsia="黑体"/>
          <w:sz w:val="30"/>
        </w:rPr>
        <w:t>部门</w:t>
      </w:r>
      <w:r>
        <w:rPr>
          <w:rFonts w:ascii="黑体" w:hAnsi="黑体" w:eastAsia="黑体"/>
          <w:sz w:val="30"/>
        </w:rPr>
        <w:t>（</w:t>
      </w:r>
      <w:r>
        <w:rPr>
          <w:rFonts w:hint="eastAsia" w:ascii="黑体" w:hAnsi="黑体" w:eastAsia="黑体"/>
          <w:sz w:val="30"/>
        </w:rPr>
        <w:t>单位</w:t>
      </w:r>
      <w:r>
        <w:rPr>
          <w:rFonts w:ascii="黑体" w:hAnsi="黑体" w:eastAsia="黑体"/>
          <w:sz w:val="30"/>
        </w:rPr>
        <w:t>）</w:t>
      </w:r>
      <w:r>
        <w:rPr>
          <w:rFonts w:hint="eastAsia" w:ascii="黑体" w:hAnsi="黑体" w:eastAsia="黑体"/>
          <w:sz w:val="30"/>
        </w:rPr>
        <w:t>整体支出绩效中存</w:t>
      </w:r>
      <w:r>
        <w:rPr>
          <w:rFonts w:ascii="黑体" w:hAnsi="黑体" w:eastAsia="黑体"/>
          <w:sz w:val="30"/>
        </w:rPr>
        <w:t>在问题</w:t>
      </w:r>
      <w:r>
        <w:rPr>
          <w:rFonts w:hint="eastAsia" w:ascii="黑体" w:hAnsi="黑体" w:eastAsia="黑体"/>
          <w:sz w:val="30"/>
        </w:rPr>
        <w:t>及</w:t>
      </w:r>
      <w:r>
        <w:rPr>
          <w:rFonts w:ascii="黑体" w:hAnsi="黑体" w:eastAsia="黑体"/>
          <w:sz w:val="30"/>
        </w:rPr>
        <w:t>改进措施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中心支出绩效情况整体向好，各项工作成效显著，同时也存在个别项目预算执行率未达到100%、个别绩效目标未能完成的情况。具体如下：1.整体预算执行率为95.09%，未能达到100%。2022年，年初预算1905.66万元，上年度结转及当年预算追加追减197.53万元，当年调整预算2103.19万元，实际支出1999.97万元，预算执行率为95.09%。主要原因是受新冠疫情影响，公用经费开支节约，统筹医疗补助结余。2.项目受理数量未达预期。2022年计划受理、评估项目不少于15000项，实际受理、评估项目12880项，未完成目标。主要原因，根据市科技局工作部署，从2022年起，苏州市级层面不再统一组织开展市级高新技术企业培育入库工作，因此项目总数少于年初预期。改进措施：一是进一步加强预算管理，建立有效的预算控制机制，科学制定预算绩效指标，根据实际情况进行预算设置；把预算编制、审批、执行和评价统一起来，加强对预算执行情况的实时监控，确保预算执行的有效性。二是及时了解相关政策变动，调整年度履职目标；进一步加强对履职目标的跟进管理，及时掌握目标完成情况。</w:t>
      </w:r>
    </w:p>
    <w:p>
      <w:pPr>
        <w:numPr>
          <w:ilvl w:val="0"/>
          <w:numId w:val="0"/>
        </w:numPr>
        <w:spacing w:line="360" w:lineRule="auto"/>
        <w:ind w:left="600" w:leftChars="0"/>
        <w:rPr>
          <w:rFonts w:ascii="黑体" w:hAnsi="黑体" w:eastAsia="黑体"/>
          <w:sz w:val="30"/>
        </w:rPr>
      </w:pPr>
      <w:r>
        <w:rPr>
          <w:rFonts w:hint="eastAsia" w:ascii="黑体" w:hAnsi="黑体" w:eastAsia="黑体"/>
          <w:sz w:val="30"/>
          <w:lang w:val="en-US" w:eastAsia="zh-CN"/>
        </w:rPr>
        <w:t>六、</w:t>
      </w:r>
      <w:r>
        <w:rPr>
          <w:rFonts w:ascii="黑体" w:hAnsi="黑体" w:eastAsia="黑体"/>
          <w:sz w:val="30"/>
        </w:rPr>
        <w:t>绩效自评</w:t>
      </w:r>
      <w:r>
        <w:rPr>
          <w:rFonts w:hint="eastAsia" w:ascii="黑体" w:hAnsi="黑体" w:eastAsia="黑体"/>
          <w:sz w:val="30"/>
        </w:rPr>
        <w:t>结果</w:t>
      </w:r>
      <w:r>
        <w:rPr>
          <w:rFonts w:ascii="黑体" w:hAnsi="黑体" w:eastAsia="黑体"/>
          <w:sz w:val="30"/>
        </w:rPr>
        <w:t>拟应用和公开</w:t>
      </w:r>
      <w:r>
        <w:rPr>
          <w:rFonts w:hint="eastAsia" w:ascii="黑体" w:hAnsi="黑体" w:eastAsia="黑体"/>
          <w:sz w:val="30"/>
        </w:rPr>
        <w:t>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绩效自评，进一步掌握了资金使用情况和取得的效果，发现了工作中存在的问题和不足，为今后进一步加强资金使用管理、完善资金绩效管理、提高资金使用效益工作提供了重要的参考依据。本自评结果拟用于与今后苏州市科技服务中心整体支出预算、项目支出预算的申请和使用。2.将自评结果编入中心决算并依法在市科技局门户网站上予向社会公开，广泛接受群众监督。</w:t>
      </w:r>
    </w:p>
    <w:p>
      <w:pPr>
        <w:numPr>
          <w:ilvl w:val="0"/>
          <w:numId w:val="0"/>
        </w:numPr>
        <w:spacing w:line="360" w:lineRule="auto"/>
        <w:rPr>
          <w:rFonts w:hint="default" w:ascii="黑体" w:hAnsi="黑体" w:eastAsia="黑体"/>
          <w:sz w:val="30"/>
          <w:lang w:val="en-US" w:eastAsia="zh-CN"/>
        </w:rPr>
        <w:sectPr>
          <w:headerReference r:id="rId3" w:type="default"/>
          <w:footerReference r:id="rId5" w:type="default"/>
          <w:headerReference r:id="rId4" w:type="even"/>
          <w:footerReference r:id="rId6" w:type="even"/>
          <w:pgSz w:w="11907" w:h="16840"/>
          <w:pgMar w:top="1247" w:right="1400" w:bottom="1089" w:left="1559" w:header="851" w:footer="992" w:gutter="0"/>
          <w:paperSrc w:first="15" w:other="15"/>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360" w:lineRule="auto"/>
        <w:ind w:left="600" w:leftChars="0" w:firstLine="0" w:firstLineChars="0"/>
        <w:rPr>
          <w:rFonts w:hint="eastAsia" w:ascii="黑体" w:hAnsi="黑体" w:eastAsia="黑体"/>
          <w:sz w:val="30"/>
          <w:lang w:val="en-US" w:eastAsia="zh-CN"/>
        </w:rPr>
      </w:pPr>
      <w:r>
        <w:rPr>
          <w:rFonts w:hint="eastAsia" w:ascii="黑体" w:hAnsi="黑体" w:eastAsia="黑体"/>
          <w:sz w:val="30"/>
          <w:lang w:val="en-US" w:eastAsia="zh-CN"/>
        </w:rPr>
        <w:t>预算信息</w:t>
      </w:r>
    </w:p>
    <w:p>
      <w:pPr>
        <w:numPr>
          <w:ilvl w:val="0"/>
          <w:numId w:val="0"/>
        </w:numPr>
        <w:spacing w:line="360" w:lineRule="auto"/>
        <w:ind w:left="600" w:leftChars="0"/>
        <w:rPr>
          <w:rFonts w:hint="eastAsia" w:ascii="黑体" w:hAnsi="黑体" w:eastAsia="黑体"/>
          <w:sz w:val="30"/>
          <w:lang w:val="en-US" w:eastAsia="zh-CN"/>
        </w:rPr>
      </w:pPr>
    </w:p>
    <w:tbl>
      <w:tblPr>
        <w:tblStyle w:val="5"/>
        <w:tblW w:w="14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268"/>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79"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本年度预算资金（万元）</w:t>
            </w:r>
            <w:r>
              <w:rPr>
                <w:rFonts w:hint="eastAsia" w:ascii="宋体" w:hAnsi="宋体" w:eastAsia="宋体" w:cs="宋体"/>
                <w:b/>
                <w:bCs/>
                <w:kern w:val="0"/>
                <w:sz w:val="24"/>
                <w:szCs w:val="24"/>
              </w:rPr>
              <w:t/>
            </w:r>
          </w:p>
        </w:tc>
        <w:tc>
          <w:tcPr>
            <w:tcW w:w="2268"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年初预算数（万元）</w:t>
            </w:r>
          </w:p>
        </w:tc>
        <w:tc>
          <w:tcPr>
            <w:tcW w:w="226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上年度结转及当年预算追加追减数(万元）</w:t>
            </w:r>
          </w:p>
        </w:tc>
        <w:tc>
          <w:tcPr>
            <w:tcW w:w="226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调整预算数（万元）</w:t>
            </w:r>
          </w:p>
        </w:tc>
        <w:tc>
          <w:tcPr>
            <w:tcW w:w="226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实际支出数（万元）</w:t>
            </w:r>
          </w:p>
        </w:tc>
        <w:tc>
          <w:tcPr>
            <w:tcW w:w="226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预算总金额</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1905.66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197.53</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2103.19</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1999.97</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基本支出</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1356.61</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197.53</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1554.14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1451.77</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项目支出</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549.05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549.05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548.2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网络光纤租赁费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职工伙食经费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33.13</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33.13</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33.13</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职工体检费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11.52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11.52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11.52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党团活动经费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4.4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3.87</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办公设备购置</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0.96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科技文献资源</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27</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26.95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苏州市双创中心物业管理费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306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省工程文献苏州分中心建设</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苏州市双创中心众创空间运营服务</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150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149.76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99.85%</w:t>
            </w:r>
          </w:p>
        </w:tc>
      </w:tr>
    </w:tbl>
    <w:p>
      <w:pPr>
        <w:numPr>
          <w:ilvl w:val="0"/>
          <w:numId w:val="0"/>
        </w:numPr>
        <w:spacing w:line="360" w:lineRule="auto"/>
        <w:ind w:left="600" w:leftChars="0"/>
        <w:rPr>
          <w:rFonts w:hint="eastAsia" w:ascii="黑体" w:hAnsi="黑体" w:eastAsia="黑体"/>
          <w:sz w:val="30"/>
          <w:lang w:val="en-US" w:eastAsia="zh-CN"/>
        </w:rPr>
      </w:pPr>
    </w:p>
    <w:p>
      <w:pPr>
        <w:numPr>
          <w:ilvl w:val="0"/>
          <w:numId w:val="1"/>
        </w:numPr>
        <w:spacing w:line="360" w:lineRule="auto"/>
        <w:ind w:left="600" w:leftChars="0" w:firstLine="0" w:firstLineChars="0"/>
        <w:rPr>
          <w:rFonts w:hint="eastAsia" w:ascii="黑体" w:hAnsi="黑体" w:eastAsia="黑体"/>
          <w:sz w:val="30"/>
          <w:lang w:val="en-US" w:eastAsia="zh-CN"/>
        </w:rPr>
      </w:pPr>
      <w:r>
        <w:rPr>
          <w:rFonts w:hint="eastAsia" w:ascii="黑体" w:hAnsi="黑体" w:eastAsia="黑体"/>
          <w:sz w:val="30"/>
          <w:lang w:val="en-US" w:eastAsia="zh-CN"/>
        </w:rPr>
        <w:t>年度重点任务</w:t>
      </w:r>
    </w:p>
    <w:p>
      <w:pPr>
        <w:numPr>
          <w:ilvl w:val="0"/>
          <w:numId w:val="0"/>
        </w:numPr>
        <w:spacing w:line="360" w:lineRule="auto"/>
        <w:ind w:left="600" w:leftChars="0"/>
        <w:rPr>
          <w:rFonts w:hint="eastAsia" w:ascii="黑体" w:hAnsi="黑体" w:eastAsia="黑体"/>
          <w:sz w:val="30"/>
          <w:lang w:val="en-US" w:eastAsia="zh-CN"/>
        </w:rPr>
      </w:pPr>
    </w:p>
    <w:tbl>
      <w:tblPr>
        <w:tblStyle w:val="5"/>
        <w:tblW w:w="13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9"/>
        <w:gridCol w:w="3818"/>
        <w:gridCol w:w="3538"/>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419" w:type="dxa"/>
            <w:shd w:val="clear" w:color="000000" w:fill="BFBFBF"/>
            <w:vAlign w:val="center"/>
          </w:tcPr>
          <w:p>
            <w:pPr>
              <w:widowControl/>
              <w:jc w:val="center"/>
              <w:rPr>
                <w:rFonts w:hint="eastAsia" w:ascii="宋体" w:hAnsi="宋体" w:eastAsia="宋体" w:cs="宋体"/>
                <w:b/>
                <w:bCs/>
                <w:kern w:val="0"/>
                <w:sz w:val="24"/>
                <w:szCs w:val="24"/>
                <w:lang w:val="en-US" w:eastAsia="zh-CN"/>
              </w:rPr>
            </w:pPr>
          </w:p>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对应部门主要职责</w:t>
            </w:r>
          </w:p>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
            </w:r>
          </w:p>
        </w:tc>
        <w:tc>
          <w:tcPr>
            <w:tcW w:w="381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任务名称</w:t>
            </w:r>
          </w:p>
        </w:tc>
        <w:tc>
          <w:tcPr>
            <w:tcW w:w="353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主要内容</w:t>
            </w:r>
          </w:p>
        </w:tc>
        <w:tc>
          <w:tcPr>
            <w:tcW w:w="2742"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restart"/>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科技评估与评价</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承担国家、省、市级科技计划项目的评估评价管理工作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负责科技计划项目的中期检查、滚动支持、结题验收等工作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restart"/>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科技情报服务与产业研究</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承担科技咨询服务平台建设与维护工作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科技文献资源</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负责科技文献资源建设工作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省工程文献苏州分中心建设</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开展各类科技咨询服务工作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开展产业分析研究工作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restart"/>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科技统计与分析</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承担国家、省、市科技统计工作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负责《苏州市科技统计数据汇编》的编撰工作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开展科技统计分析研究工作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restart"/>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科技项目受理与评审</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承担国家、省、市科技项目的申报受理及评审组织工作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开展实验动物许可管理相关工作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做好科技专家库维护工作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restart"/>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科技信息化建设与运维</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负责科技计划项目管理系统的开发、运行、维护和培训工作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"1、完成专家库、项目查重等开发建设 2、完成项目申报等全流程服务 3、完成苏商通等用户统一认证对接 4、完成人才办、信用办等数据对接 5、完成单位和项目等数据清洗"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负责网络安全及网络运维等工作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对苏州市科技计划项目管理系统、苏州市双创中心线上服务平台、苏州市科技咨询服务平台、苏州市研发资源共享服务平台、苏州市成果转化平台、苏州市海鸥计划信息平台6个平台开展了等保二级评测工作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负责信息化网络建设及技术支撑等工作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对安全设备、网络设备、服务器完成了策略配置、存储故障、虚拟化设备迁移管理等维护和故障修复方面的工作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restart"/>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人才项目受理与服务</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做好苏州市领军人才联合会日常管理工作，组织开展人才沙龙、政策咨询、金融对接等服务工作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协助做好《苏州市高层次人才享受生活待遇暂行办法》等人才政策的咨询工作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承担国家、省、市各级各类人才项目申报受理及评审组织</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restart"/>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市双创中心建设运营与管理</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承担苏州市双创中心科技招商工作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苏州市双创中心众创空间运营服务</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开展创新创业服务工作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苏州市双创中心众创空间运营服务</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承担苏州市双创中心建设与管理工作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苏州市双创中心物业管理费</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tcPr>
            <w:vMerge w:val="continue"/>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负责苏州市双创中心线上服务平台建设和运维工作</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w:t>
            </w:r>
          </w:p>
        </w:tc>
      </w:tr>
    </w:tbl>
    <w:p>
      <w:pPr>
        <w:numPr>
          <w:ilvl w:val="0"/>
          <w:numId w:val="0"/>
        </w:numPr>
        <w:spacing w:line="360" w:lineRule="auto"/>
        <w:ind w:left="600" w:leftChars="0"/>
        <w:rPr>
          <w:rFonts w:hint="eastAsia" w:ascii="黑体" w:hAnsi="黑体" w:eastAsia="黑体"/>
          <w:sz w:val="30"/>
          <w:lang w:val="en-US" w:eastAsia="zh-CN"/>
        </w:rPr>
      </w:pPr>
    </w:p>
    <w:p>
      <w:pPr>
        <w:numPr>
          <w:ilvl w:val="0"/>
          <w:numId w:val="0"/>
        </w:numPr>
        <w:spacing w:line="360" w:lineRule="auto"/>
        <w:ind w:left="600" w:leftChars="0"/>
        <w:rPr>
          <w:rFonts w:hint="eastAsia" w:ascii="黑体" w:hAnsi="黑体" w:eastAsia="黑体"/>
          <w:sz w:val="30"/>
          <w:lang w:val="en-US" w:eastAsia="zh-CN"/>
        </w:rPr>
      </w:pPr>
    </w:p>
    <w:p>
      <w:pPr>
        <w:numPr>
          <w:ilvl w:val="0"/>
          <w:numId w:val="1"/>
        </w:numPr>
        <w:spacing w:line="360" w:lineRule="auto"/>
        <w:ind w:left="600" w:leftChars="0" w:firstLine="0" w:firstLineChars="0"/>
        <w:rPr>
          <w:rFonts w:hint="default" w:ascii="黑体" w:hAnsi="黑体" w:eastAsia="黑体"/>
          <w:sz w:val="30"/>
          <w:lang w:val="en-US" w:eastAsia="zh-CN"/>
        </w:rPr>
      </w:pPr>
      <w:r>
        <w:rPr>
          <w:rFonts w:hint="eastAsia" w:ascii="黑体" w:hAnsi="黑体" w:eastAsia="黑体"/>
          <w:sz w:val="30"/>
          <w:lang w:val="en-US" w:eastAsia="zh-CN"/>
        </w:rPr>
        <w:t>部门整体自评表</w:t>
      </w:r>
    </w:p>
    <w:tbl>
      <w:tblPr>
        <w:tblStyle w:val="5"/>
        <w:tblpPr w:leftFromText="180" w:rightFromText="180" w:vertAnchor="text" w:horzAnchor="page" w:tblpX="1656" w:tblpY="127"/>
        <w:tblOverlap w:val="never"/>
        <w:tblW w:w="14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051"/>
        <w:gridCol w:w="2061"/>
        <w:gridCol w:w="1987"/>
        <w:gridCol w:w="1799"/>
        <w:gridCol w:w="1866"/>
        <w:gridCol w:w="178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67"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r>
          </w:p>
        </w:tc>
        <w:tc>
          <w:tcPr>
            <w:tcW w:w="2051"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类别</w:t>
            </w:r>
          </w:p>
        </w:tc>
        <w:tc>
          <w:tcPr>
            <w:tcW w:w="2061"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指标名称</w:t>
            </w:r>
          </w:p>
        </w:tc>
        <w:tc>
          <w:tcPr>
            <w:tcW w:w="1987"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指标目标值</w:t>
            </w:r>
          </w:p>
        </w:tc>
        <w:tc>
          <w:tcPr>
            <w:tcW w:w="1799"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指标完成值</w:t>
            </w:r>
          </w:p>
        </w:tc>
        <w:tc>
          <w:tcPr>
            <w:tcW w:w="1866"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完成值来源</w:t>
            </w:r>
          </w:p>
        </w:tc>
        <w:tc>
          <w:tcPr>
            <w:tcW w:w="1787" w:type="dxa"/>
            <w:shd w:val="clear" w:color="000000" w:fill="BFBFBF"/>
            <w:vAlign w:val="center"/>
          </w:tcPr>
          <w:p>
            <w:pPr>
              <w:widowControl/>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偏差情况</w:t>
            </w:r>
          </w:p>
        </w:tc>
        <w:tc>
          <w:tcPr>
            <w:tcW w:w="1071" w:type="dxa"/>
            <w:shd w:val="clear" w:color="000000" w:fill="BFBFBF"/>
          </w:tcPr>
          <w:p>
            <w:pPr>
              <w:widowControl/>
              <w:jc w:val="center"/>
              <w:rPr>
                <w:rFonts w:hint="default" w:ascii="黑体" w:hAnsi="黑体" w:eastAsia="黑体"/>
                <w:sz w:val="30"/>
                <w:vertAlign w:val="baseline"/>
                <w:lang w:val="en-US" w:eastAsia="zh-CN"/>
              </w:rPr>
            </w:pPr>
            <w:r>
              <w:rPr>
                <w:rFonts w:hint="eastAsia" w:ascii="宋体" w:hAnsi="宋体" w:eastAsia="宋体" w:cs="宋体"/>
                <w:b/>
                <w:bCs/>
                <w:sz w:val="24"/>
                <w:szCs w:val="24"/>
                <w:vertAlign w:val="baseline"/>
                <w:lang w:val="en-US" w:eastAsia="zh-CN"/>
              </w:rPr>
              <w:t>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restart"/>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分解目标</w:t>
            </w:r>
          </w:p>
        </w:tc>
        <w:tc>
          <w:tcPr>
            <w:tcW w:w="2051" w:type="dxa"/>
            <w:vAlign w:val="center"/>
          </w:tcPr>
          <w:tcPr>
            <w:vMerge w:val="restart"/>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决策</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工作计划制定健全性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中长期规划制定健全性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绩效指标明确性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明确</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明确</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绩效目标合理性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合理</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合理</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预算编制规范性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预算编制科学性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科学</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科学</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restart"/>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过程</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基础信息完善性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完善</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完善</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绩效管理覆盖率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非税收入管理合规性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合规</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合规</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预决算信息公开度</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公开</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公开</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预算管理制度健全性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资金使用合规性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合规</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合规</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资产管理制度健全性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固定资产利用率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资产管理规范性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项目管理制度执行规范性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项目管理制度健全性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人员管理制度执行有效性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有效</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有效</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人员管理制度健全性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在职人员控制率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业务学习与培训及时完成率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组织建设工作及时完成率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纪检监察工作有效性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有效</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有效</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公用经费控制率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&lt;=100%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预算调整率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10.36%</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新进人员的增人增资和社保追加，休假补贴和绩效追加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支付进度符合率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预算执行率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95.09%</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-4.91%</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因疫情影响，公用经费开支节约，统筹医疗补助结余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非税收入预算完成率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政府采购执行率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结转结余率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“三公经费”变动率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restart"/>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效益</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构建有利于企业创新发展的良好信息环境</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较显著</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较显著</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保障科技政策的有效落实</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较显著</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较显著</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营造创新创业的良好氛围</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较显著</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较显著</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满意度</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科技创新主体满意度</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&gt;=90%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restart"/>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履职</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引进并孵化创新创业项目</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&gt;=30个</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30个</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数据更新量</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&gt;=100000条</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100000条</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文献下载</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&gt;=2000篇</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2000篇</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开展情报咨询服务</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=500项</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500项</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产业研究报告</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=6篇</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6篇</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系统正常使用天数</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=1年</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1年</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网络故障时长</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=0小时</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0小时</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苏州市双创中心线上服务平台功能建设</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有序推进</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有序推进</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重大网络安全事故数</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=0个</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0个</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受理、评估项目数量</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&gt;=15000项</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12880项</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-14.13%</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2022年市级高企培育库不再新入库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开展科技计划项目的中期检查、滚动支持、结题验收等工作</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有序推进</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有序推进</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消监控系统完好率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专业化服务</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&gt;=25次</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25次</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人才各类政策解答服务家次</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&gt;=1000家次</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1000家次</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组织各类沙龙、对接、讲座等活动场次</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=12场</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12场</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国家、省、市科技项目的申报受理、形式审查、评审组织、合同管理等工作</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有序推进</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有序推进</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各类人才项目受理数</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&gt;=1200项</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1200项</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苏州市双创中心线上服务平台正常使用天数</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=1年</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1年</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实验动物生产及使用许可证的申报、年检相关工作</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有序推进</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有序推进</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国家、省、市各类科技统计的组织实施、数据审核及汇总</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有序推进</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有序推进</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编撰完成《2021年度苏州市科技统计数据汇编》</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开展科技统计数据挖掘利用及相关分析</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=2项</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2项</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文献下载量</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&gt;=50000条</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50000条</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组织姑苏领军人才项目评审批次数</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=2批次</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2批次</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安家补贴统计调研服务覆盖人次数</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&gt;=400人次</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400人次</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服务市领军人才联合会会员企业家次</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&gt;=800家次</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800家次</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科技专家库维护</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有序推进</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有序推进</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服务期限</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=1年</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1年</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公共设施设备维护保养完好率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物业服务完成及时性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&lt;=1天</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1天</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卫生保洁及时率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&gt;=90%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引进创投机构或天使基金</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&gt;=2个</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2个</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综合服务</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&gt;=500人次</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500人次</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开展创业沙龙、项目路演、创业大赛、双创教育培训等活动</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=15场次</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15场次</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根据上年完成情况统计得出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bl>
    <w:p>
      <w:pPr>
        <w:numPr>
          <w:ilvl w:val="0"/>
          <w:numId w:val="0"/>
        </w:numPr>
        <w:spacing w:line="360" w:lineRule="auto"/>
        <w:ind w:left="600" w:leftChars="0"/>
        <w:rPr>
          <w:rFonts w:hint="default" w:ascii="黑体" w:hAnsi="黑体" w:eastAsia="黑体"/>
          <w:sz w:val="30"/>
          <w:lang w:val="en-US" w:eastAsia="zh-CN"/>
        </w:rPr>
      </w:pPr>
      <w:bookmarkStart w:id="0" w:name="_GoBack"/>
      <w:bookmarkEnd w:id="0"/>
    </w:p>
    <w:sectPr>
      <w:headerReference r:id="rId7" w:type="default"/>
      <w:footerReference r:id="rId8" w:type="default"/>
      <w:pgSz w:w="16840" w:h="11907" w:orient="landscape"/>
      <w:pgMar w:top="1559" w:right="1247" w:bottom="1400" w:left="1089" w:header="851" w:footer="992" w:gutter="0"/>
      <w:paperSrc w:first="15" w:other="15"/>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B9F1"/>
    <w:multiLevelType w:val="singleLevel"/>
    <w:tmpl w:val="5D7BB9F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2ZWIxNzBhOWM3YmNkMjVjMWZjMWQ2NzA4MDFlZmYifQ=="/>
  </w:docVars>
  <w:rsids>
    <w:rsidRoot w:val="00063C33"/>
    <w:rsid w:val="00000AE5"/>
    <w:rsid w:val="0000149B"/>
    <w:rsid w:val="00003466"/>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4D46"/>
    <w:rsid w:val="00BE4D54"/>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70E7892"/>
    <w:rsid w:val="77980A6E"/>
    <w:rsid w:val="77F71564"/>
    <w:rsid w:val="792A54A4"/>
    <w:rsid w:val="79F1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已访问的超链接1"/>
    <w:qFormat/>
    <w:uiPriority w:val="0"/>
    <w:rPr>
      <w:color w:val="800080"/>
      <w:u w:val="single"/>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0"/>
    <w:rPr>
      <w:kern w:val="2"/>
      <w:sz w:val="18"/>
      <w:szCs w:val="18"/>
    </w:rPr>
  </w:style>
  <w:style w:type="paragraph" w:customStyle="1" w:styleId="13">
    <w:name w:val="目录 21"/>
    <w:basedOn w:val="1"/>
    <w:next w:val="1"/>
    <w:qFormat/>
    <w:uiPriority w:val="39"/>
    <w:pPr>
      <w:tabs>
        <w:tab w:val="right" w:leader="dot" w:pos="8494"/>
      </w:tabs>
      <w:spacing w:line="560" w:lineRule="exact"/>
      <w:ind w:left="210"/>
      <w:jc w:val="left"/>
    </w:pPr>
    <w:rPr>
      <w:rFonts w:ascii="仿宋_GB2312" w:hAnsi="Calibri" w:eastAsia="仿宋_GB2312" w:cs="Calibri"/>
      <w:smallCaps/>
      <w:sz w:val="28"/>
      <w:szCs w:val="28"/>
    </w:rPr>
  </w:style>
  <w:style w:type="paragraph" w:customStyle="1" w:styleId="14">
    <w:name w:val="目录 11"/>
    <w:basedOn w:val="1"/>
    <w:next w:val="1"/>
    <w:qFormat/>
    <w:uiPriority w:val="39"/>
    <w:pPr>
      <w:tabs>
        <w:tab w:val="left" w:pos="840"/>
        <w:tab w:val="right" w:leader="dot" w:pos="8296"/>
      </w:tabs>
      <w:spacing w:line="560" w:lineRule="exact"/>
      <w:jc w:val="left"/>
    </w:pPr>
    <w:rPr>
      <w:rFonts w:ascii="仿宋_GB2312" w:hAnsi="新宋体" w:eastAsia="仿宋_GB2312" w:cs="Calibri"/>
      <w:b/>
      <w:bCs/>
      <w:caps/>
      <w:sz w:val="28"/>
      <w:szCs w:val="28"/>
    </w:rPr>
  </w:style>
  <w:style w:type="paragraph" w:customStyle="1" w:styleId="15">
    <w:name w:val="Char Char Char Char Char Char Char"/>
    <w:basedOn w:val="1"/>
    <w:qFormat/>
    <w:uiPriority w:val="0"/>
    <w:rPr>
      <w:szCs w:val="21"/>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10" Target="numbering.xml" Type="http://schemas.openxmlformats.org/officeDocument/2006/relationships/numbering"/>
<Relationship Id="rId11" Target="fontTable.xml" Type="http://schemas.openxmlformats.org/officeDocument/2006/relationships/fontTable"/>
<Relationship Id="rId2" Target="settings.xml" Type="http://schemas.openxmlformats.org/officeDocument/2006/relationships/settings"/>
<Relationship Id="rId3" Target="header1.xml" Type="http://schemas.openxmlformats.org/officeDocument/2006/relationships/header"/>
<Relationship Id="rId4" Target="header2.xml" Type="http://schemas.openxmlformats.org/officeDocument/2006/relationships/header"/>
<Relationship Id="rId5" Target="footer1.xml" Type="http://schemas.openxmlformats.org/officeDocument/2006/relationships/footer"/>
<Relationship Id="rId6" Target="footer2.xml" Type="http://schemas.openxmlformats.org/officeDocument/2006/relationships/footer"/>
<Relationship Id="rId7" Target="header3.xml" Type="http://schemas.openxmlformats.org/officeDocument/2006/relationships/header"/>
<Relationship Id="rId8" Target="footer3.xml" Type="http://schemas.openxmlformats.org/officeDocument/2006/relationships/footer"/>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czj</Company>
  <Pages>1</Pages>
  <Words>25</Words>
  <Characters>144</Characters>
  <Lines>1</Lines>
  <Paragraphs>1</Paragraphs>
  <TotalTime>4</TotalTime>
  <ScaleCrop>false</ScaleCrop>
  <LinksUpToDate>false</LinksUpToDate>
  <CharactersWithSpaces>168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2020-12-31T06:58:00Z</dcterms:created>
  <dc:creator>傅海英</dc:creator>
  <cp:lastModifiedBy>木木三</cp:lastModifiedBy>
  <cp:lastPrinted>2019-06-21T02:10:00Z</cp:lastPrinted>
  <dcterms:modified xsi:type="dcterms:W3CDTF">2023-09-01T02:22:42Z</dcterms:modified>
  <cp:revision>6</cp:revision>
  <dc:title>关于进行本市部门整体支出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739EEDB2ECE141DEAF0C3D87D58590AD_13</vt:lpwstr>
  </property>
</Properties>
</file>