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tbl>
      <w:tblPr>
        <w:tblStyle w:val="5"/>
        <w:tblW w:w="8501" w:type="dxa"/>
        <w:tblInd w:w="-142" w:type="dxa"/>
        <w:tblLayout w:type="fixed"/>
        <w:tblCellMar>
          <w:top w:w="0" w:type="dxa"/>
          <w:left w:w="0" w:type="dxa"/>
          <w:bottom w:w="0" w:type="dxa"/>
          <w:right w:w="0" w:type="dxa"/>
        </w:tblCellMar>
      </w:tblPr>
      <w:tblGrid>
        <w:gridCol w:w="852"/>
        <w:gridCol w:w="366"/>
        <w:gridCol w:w="604"/>
        <w:gridCol w:w="612"/>
        <w:gridCol w:w="77"/>
        <w:gridCol w:w="831"/>
        <w:gridCol w:w="305"/>
        <w:gridCol w:w="475"/>
        <w:gridCol w:w="738"/>
        <w:gridCol w:w="422"/>
        <w:gridCol w:w="791"/>
        <w:gridCol w:w="723"/>
        <w:gridCol w:w="490"/>
        <w:gridCol w:w="1215"/>
      </w:tblGrid>
      <w:tr>
        <w:tblPrEx>
          <w:tblCellMar>
            <w:top w:w="0" w:type="dxa"/>
            <w:left w:w="0" w:type="dxa"/>
            <w:bottom w:w="0" w:type="dxa"/>
            <w:right w:w="0" w:type="dxa"/>
          </w:tblCellMar>
        </w:tblPrEx>
        <w:trPr>
          <w:trHeight w:val="535" w:hRule="atLeast"/>
        </w:trPr>
        <w:tc>
          <w:tcPr>
            <w:tcW w:w="8501" w:type="dxa"/>
            <w:gridSpan w:val="14"/>
            <w:tcBorders>
              <w:top w:val="nil"/>
              <w:left w:val="nil"/>
              <w:bottom w:val="single" w:color="auto" w:sz="4" w:space="0"/>
              <w:right w:val="nil"/>
            </w:tcBorders>
            <w:shd w:val="clear" w:color="auto" w:fill="auto"/>
            <w:noWrap/>
            <w:tcMar>
              <w:top w:w="15" w:type="dxa"/>
              <w:left w:w="15" w:type="dxa"/>
              <w:bottom w:w="0" w:type="dxa"/>
              <w:right w:w="15" w:type="dxa"/>
            </w:tcMar>
          </w:tcPr>
          <w:p>
            <w:pPr>
              <w:jc w:val="center"/>
              <w:rPr>
                <w:rFonts w:cs="Arial"/>
                <w:b/>
                <w:bCs/>
                <w:color w:val="000000"/>
                <w:sz w:val="40"/>
                <w:szCs w:val="40"/>
              </w:rPr>
            </w:pPr>
            <w:r>
              <w:rPr>
                <w:rFonts w:hint="eastAsia" w:cs="Arial"/>
                <w:b/>
                <w:bCs/>
                <w:color w:val="000000"/>
                <w:sz w:val="40"/>
                <w:szCs w:val="40"/>
              </w:rPr>
              <w:t>苏州市级财政支出项目绩效自评价报告</w:t>
            </w:r>
          </w:p>
        </w:tc>
      </w:tr>
      <w:tr>
        <w:tblPrEx>
          <w:tblCellMar>
            <w:top w:w="0" w:type="dxa"/>
            <w:left w:w="0" w:type="dxa"/>
            <w:bottom w:w="0" w:type="dxa"/>
            <w:right w:w="0" w:type="dxa"/>
          </w:tblCellMar>
        </w:tblPrEx>
        <w:trPr>
          <w:trHeight w:val="472" w:hRule="atLeast"/>
        </w:trPr>
        <w:tc>
          <w:tcPr>
            <w:tcW w:w="8501"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cs="Arial"/>
                <w:b/>
                <w:bCs/>
                <w:color w:val="000000"/>
                <w:sz w:val="36"/>
                <w:szCs w:val="36"/>
              </w:rPr>
            </w:pPr>
            <w:r>
              <w:rPr>
                <w:rFonts w:hint="eastAsia" w:cs="Arial"/>
                <w:b/>
                <w:bCs/>
                <w:color w:val="000000"/>
                <w:sz w:val="36"/>
                <w:szCs w:val="36"/>
              </w:rPr>
              <w:t>苏州市级财政支出项目绩效自评表</w:t>
            </w:r>
          </w:p>
        </w:tc>
      </w:tr>
      <w:tr>
        <w:tblPrEx>
          <w:tblCellMar>
            <w:top w:w="0" w:type="dxa"/>
            <w:left w:w="0" w:type="dxa"/>
            <w:bottom w:w="0" w:type="dxa"/>
            <w:right w:w="0" w:type="dxa"/>
          </w:tblCellMar>
        </w:tblPrEx>
        <w:trPr>
          <w:trHeight w:val="394" w:hRule="atLeast"/>
        </w:trPr>
        <w:tc>
          <w:tcPr>
            <w:tcW w:w="18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项目名称</w:t>
            </w:r>
          </w:p>
        </w:tc>
        <w:tc>
          <w:tcPr>
            <w:tcW w:w="3460"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ascii="宋体" w:hAnsi="宋体"/>
                <w:sz w:val="22"/>
              </w:rPr>
              <w:t>苏州市产业技术研究院建设</w:t>
            </w:r>
          </w:p>
        </w:tc>
        <w:tc>
          <w:tcPr>
            <w:tcW w:w="1514"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项目年份</w:t>
            </w:r>
          </w:p>
        </w:tc>
        <w:tc>
          <w:tcPr>
            <w:tcW w:w="1705"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ascii="宋体" w:hAnsi="宋体"/>
                <w:sz w:val="22"/>
              </w:rPr>
              <w:t>2</w:t>
            </w:r>
            <w:r>
              <w:rPr>
                <w:rFonts w:ascii="宋体" w:hAnsi="宋体"/>
                <w:sz w:val="22"/>
              </w:rPr>
              <w:t>021</w:t>
            </w:r>
          </w:p>
        </w:tc>
      </w:tr>
      <w:tr>
        <w:tblPrEx>
          <w:tblCellMar>
            <w:top w:w="0" w:type="dxa"/>
            <w:left w:w="0" w:type="dxa"/>
            <w:bottom w:w="0" w:type="dxa"/>
            <w:right w:w="0" w:type="dxa"/>
          </w:tblCellMar>
        </w:tblPrEx>
        <w:trPr>
          <w:trHeight w:val="425" w:hRule="atLeast"/>
        </w:trPr>
        <w:tc>
          <w:tcPr>
            <w:tcW w:w="18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项目主管部门(单位)</w:t>
            </w:r>
          </w:p>
        </w:tc>
        <w:tc>
          <w:tcPr>
            <w:tcW w:w="6679" w:type="dxa"/>
            <w:gridSpan w:val="11"/>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ascii="宋体" w:hAnsi="宋体"/>
                <w:sz w:val="22"/>
              </w:rPr>
              <w:t>苏州市科学技术局</w:t>
            </w:r>
          </w:p>
        </w:tc>
      </w:tr>
      <w:tr>
        <w:tblPrEx>
          <w:tblCellMar>
            <w:top w:w="0" w:type="dxa"/>
            <w:left w:w="0" w:type="dxa"/>
            <w:bottom w:w="0" w:type="dxa"/>
            <w:right w:w="0" w:type="dxa"/>
          </w:tblCellMar>
        </w:tblPrEx>
        <w:trPr>
          <w:trHeight w:val="535" w:hRule="atLeast"/>
        </w:trPr>
        <w:tc>
          <w:tcPr>
            <w:tcW w:w="85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市级预算执行情况（万元）</w:t>
            </w:r>
          </w:p>
        </w:tc>
        <w:tc>
          <w:tcPr>
            <w:tcW w:w="970"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年初预算数</w:t>
            </w:r>
          </w:p>
        </w:tc>
        <w:tc>
          <w:tcPr>
            <w:tcW w:w="2300" w:type="dxa"/>
            <w:gridSpan w:val="5"/>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当年使用上年结余、结转及当年调整预算数</w:t>
            </w:r>
          </w:p>
        </w:tc>
        <w:tc>
          <w:tcPr>
            <w:tcW w:w="2674" w:type="dxa"/>
            <w:gridSpan w:val="4"/>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财政拨款数</w:t>
            </w:r>
          </w:p>
        </w:tc>
        <w:tc>
          <w:tcPr>
            <w:tcW w:w="1705"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指标结余数</w:t>
            </w:r>
          </w:p>
        </w:tc>
      </w:tr>
      <w:tr>
        <w:tblPrEx>
          <w:tblCellMar>
            <w:top w:w="0" w:type="dxa"/>
            <w:left w:w="0" w:type="dxa"/>
            <w:bottom w:w="0" w:type="dxa"/>
            <w:right w:w="0" w:type="dxa"/>
          </w:tblCellMar>
        </w:tblPrEx>
        <w:trPr>
          <w:trHeight w:val="441" w:hRule="atLeast"/>
        </w:trPr>
        <w:tc>
          <w:tcPr>
            <w:tcW w:w="852" w:type="dxa"/>
            <w:vMerge w:val="continue"/>
            <w:tcBorders>
              <w:top w:val="nil"/>
              <w:left w:val="single" w:color="000000" w:sz="4" w:space="0"/>
              <w:bottom w:val="single" w:color="000000" w:sz="4" w:space="0"/>
              <w:right w:val="single" w:color="000000" w:sz="4" w:space="0"/>
            </w:tcBorders>
            <w:vAlign w:val="center"/>
          </w:tcPr>
          <w:p>
            <w:pPr>
              <w:rPr>
                <w:rFonts w:cs="Arial"/>
                <w:color w:val="000000"/>
                <w:sz w:val="22"/>
              </w:rPr>
            </w:pPr>
          </w:p>
        </w:tc>
        <w:tc>
          <w:tcPr>
            <w:tcW w:w="970"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ascii="宋体" w:hAnsi="宋体"/>
                <w:sz w:val="22"/>
              </w:rPr>
              <w:t>10000</w:t>
            </w:r>
          </w:p>
        </w:tc>
        <w:tc>
          <w:tcPr>
            <w:tcW w:w="2300" w:type="dxa"/>
            <w:gridSpan w:val="5"/>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ascii="宋体" w:hAnsi="宋体"/>
                <w:sz w:val="22"/>
              </w:rPr>
              <w:t>10100</w:t>
            </w:r>
          </w:p>
        </w:tc>
        <w:tc>
          <w:tcPr>
            <w:tcW w:w="2674" w:type="dxa"/>
            <w:gridSpan w:val="4"/>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ascii="宋体" w:hAnsi="宋体"/>
                <w:sz w:val="22"/>
              </w:rPr>
              <w:t>20100</w:t>
            </w:r>
          </w:p>
        </w:tc>
        <w:tc>
          <w:tcPr>
            <w:tcW w:w="1705"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ascii="宋体" w:hAnsi="宋体"/>
                <w:sz w:val="22"/>
              </w:rPr>
              <w:t>0</w:t>
            </w:r>
          </w:p>
        </w:tc>
      </w:tr>
      <w:tr>
        <w:tblPrEx>
          <w:tblCellMar>
            <w:top w:w="0" w:type="dxa"/>
            <w:left w:w="0" w:type="dxa"/>
            <w:bottom w:w="0" w:type="dxa"/>
            <w:right w:w="0" w:type="dxa"/>
          </w:tblCellMar>
        </w:tblPrEx>
        <w:trPr>
          <w:trHeight w:val="346" w:hRule="atLeast"/>
        </w:trPr>
        <w:tc>
          <w:tcPr>
            <w:tcW w:w="85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市级财政资金使用情况（万元）</w:t>
            </w:r>
          </w:p>
        </w:tc>
        <w:tc>
          <w:tcPr>
            <w:tcW w:w="970"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财政拨款数</w:t>
            </w:r>
          </w:p>
        </w:tc>
        <w:tc>
          <w:tcPr>
            <w:tcW w:w="152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实际支付数</w:t>
            </w:r>
          </w:p>
        </w:tc>
        <w:tc>
          <w:tcPr>
            <w:tcW w:w="194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资金结余、结转数</w:t>
            </w:r>
          </w:p>
        </w:tc>
        <w:tc>
          <w:tcPr>
            <w:tcW w:w="3219" w:type="dxa"/>
            <w:gridSpan w:val="4"/>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其中：</w:t>
            </w:r>
          </w:p>
        </w:tc>
      </w:tr>
      <w:tr>
        <w:tblPrEx>
          <w:tblCellMar>
            <w:top w:w="0" w:type="dxa"/>
            <w:left w:w="0" w:type="dxa"/>
            <w:bottom w:w="0" w:type="dxa"/>
            <w:right w:w="0" w:type="dxa"/>
          </w:tblCellMar>
        </w:tblPrEx>
        <w:trPr>
          <w:trHeight w:val="378" w:hRule="atLeast"/>
        </w:trPr>
        <w:tc>
          <w:tcPr>
            <w:tcW w:w="852" w:type="dxa"/>
            <w:vMerge w:val="continue"/>
            <w:tcBorders>
              <w:top w:val="nil"/>
              <w:left w:val="single" w:color="000000" w:sz="4" w:space="0"/>
              <w:bottom w:val="single" w:color="000000" w:sz="4" w:space="0"/>
              <w:right w:val="single" w:color="000000" w:sz="4" w:space="0"/>
            </w:tcBorders>
            <w:vAlign w:val="center"/>
          </w:tcPr>
          <w:p>
            <w:pPr>
              <w:rPr>
                <w:rFonts w:cs="Arial"/>
                <w:color w:val="000000"/>
                <w:sz w:val="22"/>
              </w:rPr>
            </w:pPr>
          </w:p>
        </w:tc>
        <w:tc>
          <w:tcPr>
            <w:tcW w:w="970" w:type="dxa"/>
            <w:gridSpan w:val="2"/>
            <w:vMerge w:val="continue"/>
            <w:tcBorders>
              <w:top w:val="nil"/>
              <w:left w:val="single" w:color="000000" w:sz="4" w:space="0"/>
              <w:bottom w:val="single" w:color="000000" w:sz="4" w:space="0"/>
              <w:right w:val="single" w:color="000000" w:sz="4" w:space="0"/>
            </w:tcBorders>
            <w:vAlign w:val="center"/>
          </w:tcPr>
          <w:p>
            <w:pPr>
              <w:rPr>
                <w:rFonts w:cs="Arial"/>
                <w:color w:val="000000"/>
                <w:sz w:val="22"/>
              </w:rPr>
            </w:pPr>
          </w:p>
        </w:tc>
        <w:tc>
          <w:tcPr>
            <w:tcW w:w="1520" w:type="dxa"/>
            <w:gridSpan w:val="3"/>
            <w:vMerge w:val="continue"/>
            <w:tcBorders>
              <w:top w:val="nil"/>
              <w:left w:val="single" w:color="000000" w:sz="4" w:space="0"/>
              <w:bottom w:val="single" w:color="000000" w:sz="4" w:space="0"/>
              <w:right w:val="single" w:color="000000" w:sz="4" w:space="0"/>
            </w:tcBorders>
            <w:vAlign w:val="center"/>
          </w:tcPr>
          <w:p>
            <w:pPr>
              <w:rPr>
                <w:rFonts w:cs="Arial"/>
                <w:color w:val="000000"/>
                <w:sz w:val="22"/>
              </w:rPr>
            </w:pPr>
          </w:p>
        </w:tc>
        <w:tc>
          <w:tcPr>
            <w:tcW w:w="1940" w:type="dxa"/>
            <w:gridSpan w:val="4"/>
            <w:vMerge w:val="continue"/>
            <w:tcBorders>
              <w:top w:val="single" w:color="000000" w:sz="4" w:space="0"/>
              <w:left w:val="single" w:color="000000" w:sz="4" w:space="0"/>
              <w:bottom w:val="single" w:color="000000" w:sz="4" w:space="0"/>
              <w:right w:val="single" w:color="000000" w:sz="4" w:space="0"/>
            </w:tcBorders>
            <w:vAlign w:val="center"/>
          </w:tcPr>
          <w:p>
            <w:pPr>
              <w:rPr>
                <w:rFonts w:cs="Arial"/>
                <w:color w:val="000000"/>
                <w:sz w:val="22"/>
              </w:rPr>
            </w:pPr>
          </w:p>
        </w:tc>
        <w:tc>
          <w:tcPr>
            <w:tcW w:w="1514"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结转数</w:t>
            </w:r>
          </w:p>
        </w:tc>
        <w:tc>
          <w:tcPr>
            <w:tcW w:w="1705"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财政收回数</w:t>
            </w:r>
          </w:p>
        </w:tc>
      </w:tr>
      <w:tr>
        <w:tblPrEx>
          <w:tblCellMar>
            <w:top w:w="0" w:type="dxa"/>
            <w:left w:w="0" w:type="dxa"/>
            <w:bottom w:w="0" w:type="dxa"/>
            <w:right w:w="0" w:type="dxa"/>
          </w:tblCellMar>
        </w:tblPrEx>
        <w:trPr>
          <w:trHeight w:val="630" w:hRule="atLeast"/>
        </w:trPr>
        <w:tc>
          <w:tcPr>
            <w:tcW w:w="852" w:type="dxa"/>
            <w:vMerge w:val="continue"/>
            <w:tcBorders>
              <w:top w:val="nil"/>
              <w:left w:val="single" w:color="000000" w:sz="4" w:space="0"/>
              <w:bottom w:val="single" w:color="000000" w:sz="4" w:space="0"/>
              <w:right w:val="single" w:color="000000" w:sz="4" w:space="0"/>
            </w:tcBorders>
            <w:vAlign w:val="center"/>
          </w:tcPr>
          <w:p>
            <w:pPr>
              <w:rPr>
                <w:rFonts w:cs="Arial"/>
                <w:color w:val="000000"/>
                <w:sz w:val="22"/>
              </w:rPr>
            </w:pPr>
          </w:p>
        </w:tc>
        <w:tc>
          <w:tcPr>
            <w:tcW w:w="970"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ascii="宋体" w:hAnsi="宋体"/>
                <w:sz w:val="22"/>
              </w:rPr>
              <w:t>20100</w:t>
            </w:r>
          </w:p>
        </w:tc>
        <w:tc>
          <w:tcPr>
            <w:tcW w:w="1520" w:type="dxa"/>
            <w:gridSpan w:val="3"/>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ascii="宋体" w:hAnsi="宋体"/>
                <w:sz w:val="22"/>
              </w:rPr>
              <w:t>5984</w:t>
            </w:r>
          </w:p>
        </w:tc>
        <w:tc>
          <w:tcPr>
            <w:tcW w:w="1940" w:type="dxa"/>
            <w:gridSpan w:val="4"/>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ascii="宋体" w:hAnsi="宋体"/>
                <w:sz w:val="22"/>
              </w:rPr>
              <w:t>14116</w:t>
            </w:r>
          </w:p>
        </w:tc>
        <w:tc>
          <w:tcPr>
            <w:tcW w:w="1514"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ascii="宋体" w:hAnsi="宋体"/>
                <w:sz w:val="22"/>
              </w:rPr>
              <w:t>14116</w:t>
            </w:r>
          </w:p>
        </w:tc>
        <w:tc>
          <w:tcPr>
            <w:tcW w:w="1705"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8501" w:type="dxa"/>
            <w:gridSpan w:val="14"/>
            <w:tcBorders>
              <w:top w:val="single" w:color="auto" w:sz="4" w:space="0"/>
              <w:left w:val="single" w:color="auto" w:sz="4" w:space="0"/>
              <w:bottom w:val="single" w:color="auto" w:sz="4" w:space="0"/>
              <w:right w:val="single" w:color="auto" w:sz="4" w:space="0"/>
            </w:tcBorders>
            <w:shd w:val="clear" w:color="auto" w:fill="BFBFB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项目资金构成（详细列出各子项目名称和金额）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511" w:type="dxa"/>
            <w:gridSpan w:val="5"/>
            <w:tcBorders>
              <w:top w:val="single" w:color="auto" w:sz="4" w:space="0"/>
              <w:left w:val="single" w:color="auto" w:sz="4" w:space="0"/>
              <w:bottom w:val="single" w:color="auto" w:sz="4" w:space="0"/>
              <w:right w:val="single" w:color="auto" w:sz="4" w:space="0"/>
            </w:tcBorders>
            <w:shd w:val="clear" w:color="auto" w:fill="BFBFB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子项名称</w:t>
            </w:r>
          </w:p>
        </w:tc>
        <w:tc>
          <w:tcPr>
            <w:tcW w:w="2771" w:type="dxa"/>
            <w:gridSpan w:val="5"/>
            <w:tcBorders>
              <w:top w:val="single" w:color="auto" w:sz="4" w:space="0"/>
              <w:left w:val="single" w:color="auto" w:sz="4" w:space="0"/>
              <w:bottom w:val="single" w:color="auto" w:sz="4" w:space="0"/>
              <w:right w:val="single" w:color="auto" w:sz="4" w:space="0"/>
            </w:tcBorders>
            <w:shd w:val="clear" w:color="auto" w:fill="BFBFB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预算数（万元）</w:t>
            </w:r>
          </w:p>
        </w:tc>
        <w:tc>
          <w:tcPr>
            <w:tcW w:w="3219" w:type="dxa"/>
            <w:gridSpan w:val="4"/>
            <w:tcBorders>
              <w:top w:val="single" w:color="auto" w:sz="4" w:space="0"/>
              <w:left w:val="single" w:color="auto" w:sz="4" w:space="0"/>
              <w:bottom w:val="single" w:color="auto" w:sz="4" w:space="0"/>
              <w:right w:val="single" w:color="auto" w:sz="4" w:space="0"/>
            </w:tcBorders>
            <w:shd w:val="clear" w:color="auto" w:fill="BFBFB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实际数（万元）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2511"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合计</w:t>
            </w:r>
          </w:p>
        </w:tc>
        <w:tc>
          <w:tcPr>
            <w:tcW w:w="2771"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10000</w:t>
            </w:r>
          </w:p>
        </w:tc>
        <w:tc>
          <w:tcPr>
            <w:tcW w:w="321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2511"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日常运营经费</w:t>
            </w:r>
          </w:p>
        </w:tc>
        <w:tc>
          <w:tcPr>
            <w:tcW w:w="2771"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1819.27</w:t>
            </w:r>
          </w:p>
        </w:tc>
        <w:tc>
          <w:tcPr>
            <w:tcW w:w="321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2511"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产业重大原创性技术创新项目研究</w:t>
            </w:r>
          </w:p>
        </w:tc>
        <w:tc>
          <w:tcPr>
            <w:tcW w:w="2771"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2500</w:t>
            </w:r>
          </w:p>
        </w:tc>
        <w:tc>
          <w:tcPr>
            <w:tcW w:w="321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2511"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技术研究所经费</w:t>
            </w:r>
          </w:p>
        </w:tc>
        <w:tc>
          <w:tcPr>
            <w:tcW w:w="2771"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5680.73</w:t>
            </w:r>
          </w:p>
        </w:tc>
        <w:tc>
          <w:tcPr>
            <w:tcW w:w="321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218"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项目</w:t>
            </w:r>
          </w:p>
        </w:tc>
        <w:tc>
          <w:tcPr>
            <w:tcW w:w="1216"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类别</w:t>
            </w:r>
          </w:p>
        </w:tc>
        <w:tc>
          <w:tcPr>
            <w:tcW w:w="1213" w:type="dxa"/>
            <w:gridSpan w:val="3"/>
            <w:tcBorders>
              <w:top w:val="single" w:color="auto" w:sz="4" w:space="0"/>
              <w:left w:val="single" w:color="auto" w:sz="4" w:space="0"/>
              <w:bottom w:val="single" w:color="auto" w:sz="4" w:space="0"/>
              <w:right w:val="single" w:color="auto" w:sz="4" w:space="0"/>
            </w:tcBorders>
            <w:shd w:val="clear" w:color="auto" w:fill="BFBFB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指标名称</w:t>
            </w:r>
          </w:p>
        </w:tc>
        <w:tc>
          <w:tcPr>
            <w:tcW w:w="1213"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目标值</w:t>
            </w:r>
          </w:p>
        </w:tc>
        <w:tc>
          <w:tcPr>
            <w:tcW w:w="1213"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权重</w:t>
            </w:r>
          </w:p>
        </w:tc>
        <w:tc>
          <w:tcPr>
            <w:tcW w:w="1213"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实际完成值</w:t>
            </w:r>
          </w:p>
        </w:tc>
        <w:tc>
          <w:tcPr>
            <w:tcW w:w="1215" w:type="dxa"/>
            <w:tcBorders>
              <w:top w:val="single" w:color="auto" w:sz="4" w:space="0"/>
              <w:left w:val="single" w:color="auto" w:sz="4" w:space="0"/>
              <w:bottom w:val="single" w:color="auto" w:sz="4" w:space="0"/>
              <w:right w:val="single" w:color="auto" w:sz="4" w:space="0"/>
            </w:tcBorders>
            <w:shd w:val="clear" w:color="auto" w:fill="BFBFB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项目绩效实现情况（80分）</w:t>
            </w:r>
          </w:p>
        </w:tc>
        <w:tc>
          <w:tcPr>
            <w:tcW w:w="121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过程目标</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专款专用率</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4</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财务制度健全性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健全</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预算执行率</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8</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29.77%</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资金使用合规性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合规</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4</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项目日常进度管理规范性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规范</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4</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产出目标</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研究所项目筹建准备</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=12个</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12个</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延续创新项目</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=4个</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4个</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离岸创新中心意向</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=5个</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5个</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补助标准执行度</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研究所信息完成度</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项目信息更新及时率</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及时</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运营保障率</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新增项目库项目数</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=300个</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324个</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新增项目团队接洽数</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=100个</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112个</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产业分析报告</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=2份</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2份</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补助已建技术研究所</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=10个</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4个</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项目信息完整度</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补助新建技术研究所</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=5个</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5个</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效益目标</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产研院运行</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稳定</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2.24</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孵化、引进、衍生企业数</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=12家</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2.16</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23家</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研究所引进人才创造就业岗位</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=100个</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2.16</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196个</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技术创新</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=6项</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2.16</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6项</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研究所提报项目</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=3个</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2.16</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4个</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研究所知识产权申请</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=70个</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2.16</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80个</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项目入库数</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=300个</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2.16</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300个</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海内外项目入库数</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=200个</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2.16</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200个</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技术研究所建成数</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=5个</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2.16</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8个</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引进市级及以上高层次人才</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=10人</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2.16</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10人</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路演对接会</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=6个</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2.16</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6个</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对接技术研究所</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=10个</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2.16</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11个</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档案管理健全性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健全</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评审专家信息完整度</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制度建设完善性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完善</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286" w:type="dxa"/>
            <w:gridSpan w:val="1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合计</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sz w:val="22"/>
              </w:rPr>
              <w:t>70</w:t>
            </w:r>
          </w:p>
        </w:tc>
      </w:tr>
    </w:tbl>
    <w:p/>
    <w:tbl>
      <w:tblPr>
        <w:tblStyle w:val="5"/>
        <w:tblW w:w="8506" w:type="dxa"/>
        <w:tblInd w:w="-147" w:type="dxa"/>
        <w:tblLayout w:type="fixed"/>
        <w:tblCellMar>
          <w:top w:w="0" w:type="dxa"/>
          <w:left w:w="0" w:type="dxa"/>
          <w:bottom w:w="0" w:type="dxa"/>
          <w:right w:w="0" w:type="dxa"/>
        </w:tblCellMar>
      </w:tblPr>
      <w:tblGrid>
        <w:gridCol w:w="1547"/>
        <w:gridCol w:w="840"/>
        <w:gridCol w:w="960"/>
        <w:gridCol w:w="960"/>
        <w:gridCol w:w="960"/>
        <w:gridCol w:w="960"/>
        <w:gridCol w:w="960"/>
        <w:gridCol w:w="1319"/>
      </w:tblGrid>
      <w:tr>
        <w:tblPrEx>
          <w:tblCellMar>
            <w:top w:w="0" w:type="dxa"/>
            <w:left w:w="0" w:type="dxa"/>
            <w:bottom w:w="0" w:type="dxa"/>
            <w:right w:w="0" w:type="dxa"/>
          </w:tblCellMar>
        </w:tblPrEx>
        <w:tc>
          <w:tcPr>
            <w:tcW w:w="850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填表说明：1.“市级预算执行情况”、“市级财政资金使用情况”均含非税收入。“年初预算数”填“二下”数；“当年使用上年结余、结转及当年调整预算数”填当年使用上年结余、结转数以及追加或调减预算数；“财政拨款数”填财政部门实际拨付的款项数；“实际支付数”填资金实际支付到最终使用者的数额；“结转数”填结转以后年度使用的资金数；“财政收回数”填财政部门收回的资金数。指标结余数=年初预算数+当年使用上年结余、结转及当年调整预算数-财政拨款数；资金结余、结转数=财政拨款数-实际支付数=结转数+财政收回数。2.“指标名称”中“投入”类指标根据项目类型，按照《2021年度苏州市级财政支出项目绩效评价“投入”类共性指标》规定，逐一对照进行自评价；“产出”、“结果”、“影响力”三类指标填列预算部门（单位）报送的绩效目标申报表中经财政部门审核通过的指标，如发生绩效目标调整的，以经财政部门批准调整后的指标为准。3.各项指标权重值为根据指标数量将该类总分值分摊到各项指标的分值，即各项指标分值=该类总分值/指标个数。4.各项数据采集的时间节点均为20</w:t>
            </w:r>
            <w:r>
              <w:rPr>
                <w:rFonts w:cs="Arial"/>
                <w:color w:val="000000"/>
                <w:sz w:val="22"/>
              </w:rPr>
              <w:t>21</w:t>
            </w:r>
            <w:r>
              <w:rPr>
                <w:rFonts w:hint="eastAsia" w:cs="Arial"/>
                <w:color w:val="000000"/>
                <w:sz w:val="22"/>
              </w:rPr>
              <w:t>年12月31日。定性指标按照 好、较好、一般、较差、差 等级评分，分别得对应权重值的100%、80%、60%、40%和20%。定量指标评分规则：“产出”类每项指标的实际完成值对应预期设定的目标值，完成100%～130%得权重值满分，实际完成值每低于目标值1个百分点相应扣减权重值的5%，超过130%的每超过1%扣权重值1%；除指标解释中有特别说明的以外，“投入”类指标评分规则同“产出”类指标；“结果”类每项指标的实际完成值对应预期设定的目标值，完成100%～200%得权重值满分，超过200%的每超过1%扣权重值1%,实际完成值每低于目标值1个百分点相应扣减权重值的5%。某项指标无法提供具体数值，且无说明，得0分。</w:t>
            </w:r>
          </w:p>
        </w:tc>
      </w:tr>
      <w:tr>
        <w:tblPrEx>
          <w:tblCellMar>
            <w:top w:w="0" w:type="dxa"/>
            <w:left w:w="0" w:type="dxa"/>
            <w:bottom w:w="0" w:type="dxa"/>
            <w:right w:w="0" w:type="dxa"/>
          </w:tblCellMar>
        </w:tblPrEx>
        <w:trPr>
          <w:trHeight w:val="450" w:hRule="atLeast"/>
        </w:trPr>
        <w:tc>
          <w:tcPr>
            <w:tcW w:w="8506"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cs="Arial"/>
                <w:b/>
                <w:bCs/>
                <w:color w:val="000000"/>
                <w:sz w:val="36"/>
                <w:szCs w:val="36"/>
              </w:rPr>
            </w:pPr>
            <w:r>
              <w:rPr>
                <w:rFonts w:hint="eastAsia" w:cs="Arial"/>
                <w:b/>
                <w:bCs/>
                <w:color w:val="000000"/>
                <w:sz w:val="36"/>
                <w:szCs w:val="36"/>
              </w:rPr>
              <w:t>项目基本情况</w:t>
            </w:r>
          </w:p>
        </w:tc>
      </w:tr>
      <w:tr>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项目概况</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根据《市政府关于支持苏州市产业技术研究院发展的若干意见》，申请设立苏州市产业技术研究院专用资金，2021年资金主要用途包括四个方面：1、技术研究所建设经费，包括技术研究所从前期引进到落地的相关费用。2、产业重大原创技术创新项目研究，用于支持项目从立项到落实的相关费用。3、产业创新服务能力建设经费，包括离岸创新中心建设等相关费用。4、产研院的基本支出，包括人员经费及日常运营经费。</w:t>
            </w:r>
          </w:p>
        </w:tc>
      </w:tr>
      <w:tr>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项目总目标</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通过市产研院建设，坚持应用技术研究开发，为全市产业发展持续提供源源不断的技术供给，全力主推经济高质量发展。通过市产研院建设，坚持以全球事业谋划和推动科技创新，主动融入全球科技创新网络，加速集聚海内外优质科技创新资源，切实增强城市科技竞争能力。通过市产研院建设，积极探索财政科技投入市场化配置机制，科研经费和项目管理等</w:t>
            </w:r>
            <w:r>
              <w:rPr>
                <w:rFonts w:hint="eastAsia" w:cs="Arial"/>
                <w:color w:val="000000"/>
                <w:sz w:val="22"/>
                <w:lang w:val="en-US" w:eastAsia="zh-CN"/>
              </w:rPr>
              <w:t>体制</w:t>
            </w:r>
            <w:bookmarkStart w:id="0" w:name="_GoBack"/>
            <w:bookmarkEnd w:id="0"/>
            <w:r>
              <w:rPr>
                <w:rFonts w:hint="eastAsia" w:cs="Arial"/>
                <w:color w:val="000000"/>
                <w:sz w:val="22"/>
              </w:rPr>
              <w:t>机制改革，形成有利于创新成果产业化的新机制，打造全市科技工作新的特色和亮点。</w:t>
            </w:r>
          </w:p>
        </w:tc>
      </w:tr>
      <w:tr>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年度绩效目标</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按预算进行资金的安排，充分、合理、规范的使用资金，做到专款专用。财务制度健全，会计制度完整。配套资金足额及时到位。2021年度建立5个研究所。</w:t>
            </w:r>
          </w:p>
        </w:tc>
      </w:tr>
      <w:tr>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项目实施情况</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一）项目招引一是实行“揭榜挂帅”机制，完善项目遴选模式。2021年，苏州市产研院与苏州工业园区管委会签署了战略合作框架协议，共同启动“苏州市产业技术研究院区块链技术研究所”筹建工作，首次采用“揭榜挂帅”的方式，面向全国招募优秀区块链技术团队，共同推动区块链技术赋能园区产业发展。二是实行“借力出海”机制，布局离岸创新中心。与金鸡湖商务中心、新加坡国际商务合作中心、中荷离岸协同创新中心达成合作，依托现有资源，共同推动市产研院硅谷、波士顿、慕尼黑离岸创新中心，新加坡离岸创新中心以及荷兰离岸创新中心的布局和建设。（二）项目服务一是加大扶持。参与举办“双创天堂”2021苏州科技创新创业大赛，协同市科技服务中心、市科技创新创业投资有限公司联合发布“双创天堂”姑苏天使创业成长计划，为人才创新创业推出创业指导服务、项目孵化服务、能力提升服务、资本对接服务、产业研究服务等五大定制服务，打造全新的创业成长服务体系。二是加强培育。举办项目路演活动，搭建项目团队与板块的沟通桥梁，精准链接项目落地板块资源。联合各技术研究所参加“校园苏州日”活动，现场提供336个岗位，有针对性地引进产业发展急需的各类优秀毕业生。举办了多场技术研究所负责人相关培训交流活动，围绕科技企业人才激励、技术研究所后期规划和成长等问题开展专业交流和讨论。举办了多场院部业务人才培训和项目经验分享交流活动，围绕业务工作中的热点和难点开展经验共享、经验萃取，交流促进管理效能提升。</w:t>
            </w:r>
          </w:p>
        </w:tc>
      </w:tr>
      <w:tr>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项目管理成效</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一是做优主导。锚定主导优势产业延链、补链、强链，聚焦生物医药、先进制造、电子信息、先进材料等领域，谋划一批战略性新兴产业项目，高质量招引一批项目。2021年，市产研院签约建设技术研究所12个，总投资160800万元，签约建设重大产业化项目3个，总投资8700万元。引进项目负责人包括中科院院士朱日祥、徐红星等。已落地技术研究院运行态势良好，在超高压电性能材料、碳14核素分离回收、“80、90级”高强特种焊材等领域实现一批关键技术和“卡脖子”技术突破。二是做强龙头。挖掘企业需求、建立创新载体，构建以科研团队、企业、产业联盟相结合的产业创新体系。2021年，市产研院共布局5个与龙头企业合作共建的技术研究所，分别为介入医疗技术研究所（与沛嘉医疗科技合作）、城市更新产业技术研究所（与启迪设计集团合作）、数据应用技术研究所（与江苏宝和数据合作）、车规半导体产业技术研究所（与苏州晶方半导体科技合作）、区块链技术研究所（与江苏荣泽信息科技合作）。苏州市产业技术研究院智能集成测试技术中心揭牌成立，为制造企业加快实施创新发展战略，实现产业转型升级提供更多解决方案与公共技术服务。与龙头企业合作共建的融合基建技术研究所、绿色熔接制造技术研究所、同位素技术研究所入选2021年度苏州市新型研发机构。三是做实合作。开放合作圈，打造与大院大所、十大板块、科技镇长团、理事单位及相关部门的协同网络。2021年，市产研院与张家港市、工业园区、吴中区等板块签订战略合作协议，与太仓市、常熟市等板块科技部门签订基层党组织共建协议，邀请高新区、常熟市等地科技镇长团交流走访，成立了苏州市产业技术研究院枫桥工作站，瞄准板块科技创新需求，推介重大创新项目、共建重大创新载体，推动资源向基层集聚，支撑板块高质量发展。积极联动苏州市科技局、工信局等有关部门，推进大飞机苏州产业研究中心平台建设。面向重大战略需求，深化与大院大所产学研用合作，推动市产研院技术研究所与材料科学姑苏实验室开展联合攻关，推动与中国科学院、上海交通大学、西安交通大学、苏州大学等科研机构和高等院校的资源对接与项目落地，共同促进技术创新与产业发展。</w:t>
            </w:r>
          </w:p>
        </w:tc>
      </w:tr>
      <w:tr>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项目管理存在的问题及原因</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一预算执行率有待提升原因：依据市产研院相关业务类制度，项目经费分年度支持，为确保资金安全、市产研院及项目运行稳定，市产研院资金拨付与其他共建方同步同比例，以项目年度考核为依据，考核由市产研院协同共建方共同组织实施，存在一定不确定性。二院集体决策机制不够灵活原因：依据相关规定，市产研院院长办公会决定重要事项，应当在充分讨论后进行表决，表决以全票通过为通过。现有机制不够灵活，决策效率有所影响；</w:t>
            </w:r>
          </w:p>
        </w:tc>
      </w:tr>
      <w:tr>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进一步加强项目管理的建议</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一加强预算管理建议加强预算的科学性和合理性。一是每年要依据实际情况制定合理的、可量化的、可实现的年度计划和绩效目标。二是要加强专项资金的预算管理，合理安排投入结构，科学制定各子项产出目标和对应的预算安排并严格执行，根据年度计划和绩效目标推进项目进度，加快项目建设。二优化院集体决策机制建议将院长办公会议事规则由院领导全票通过调整为表决以赞成票数达到拥有表决权的领导总数的三分之二以上为通过。</w:t>
            </w:r>
          </w:p>
        </w:tc>
      </w:tr>
      <w:tr>
        <w:tblPrEx>
          <w:tblCellMar>
            <w:top w:w="0" w:type="dxa"/>
            <w:left w:w="0" w:type="dxa"/>
            <w:bottom w:w="0" w:type="dxa"/>
            <w:right w:w="0" w:type="dxa"/>
          </w:tblCellMar>
        </w:tblPrEx>
        <w:trPr>
          <w:trHeight w:val="285" w:hRule="atLeast"/>
        </w:trPr>
        <w:tc>
          <w:tcPr>
            <w:tcW w:w="8506" w:type="dxa"/>
            <w:gridSpan w:val="8"/>
            <w:tcBorders>
              <w:top w:val="single" w:color="auto" w:sz="4" w:space="0"/>
              <w:left w:val="nil"/>
              <w:bottom w:val="nil"/>
              <w:right w:val="nil"/>
            </w:tcBorders>
            <w:shd w:val="clear" w:color="auto" w:fill="auto"/>
            <w:noWrap/>
            <w:tcMar>
              <w:top w:w="15" w:type="dxa"/>
              <w:left w:w="15" w:type="dxa"/>
              <w:bottom w:w="0" w:type="dxa"/>
              <w:right w:w="15" w:type="dxa"/>
            </w:tcMar>
            <w:vAlign w:val="center"/>
          </w:tcPr>
          <w:p>
            <w:pPr>
              <w:rPr>
                <w:rFonts w:cs="Arial"/>
                <w:sz w:val="22"/>
              </w:rPr>
            </w:pPr>
            <w:r>
              <w:rPr>
                <w:rFonts w:hint="eastAsia" w:cs="Arial"/>
                <w:sz w:val="22"/>
              </w:rPr>
              <w:t>（标注：项目概况、项目总目标、年度绩效目标由软件自动从申报表中生成）</w:t>
            </w:r>
          </w:p>
        </w:tc>
      </w:tr>
      <w:tr>
        <w:tblPrEx>
          <w:tblCellMar>
            <w:top w:w="0" w:type="dxa"/>
            <w:left w:w="0" w:type="dxa"/>
            <w:bottom w:w="0" w:type="dxa"/>
            <w:right w:w="0" w:type="dxa"/>
          </w:tblCellMar>
        </w:tblPrEx>
        <w:trPr>
          <w:hidden/>
        </w:trPr>
        <w:tc>
          <w:tcPr>
            <w:tcW w:w="1547" w:type="dxa"/>
            <w:tcBorders>
              <w:top w:val="nil"/>
              <w:left w:val="nil"/>
              <w:bottom w:val="nil"/>
              <w:right w:val="nil"/>
            </w:tcBorders>
            <w:shd w:val="clear" w:color="auto" w:fill="auto"/>
            <w:noWrap/>
            <w:tcMar>
              <w:top w:w="15" w:type="dxa"/>
              <w:left w:w="15" w:type="dxa"/>
              <w:bottom w:w="0" w:type="dxa"/>
              <w:right w:w="15" w:type="dxa"/>
            </w:tcMar>
            <w:vAlign w:val="bottom"/>
          </w:tcPr>
          <w:p>
            <w:pPr>
              <w:rPr>
                <w:rFonts w:ascii="Arial" w:hAnsi="Arial" w:cs="Arial"/>
                <w:vanish/>
                <w:sz w:val="20"/>
                <w:szCs w:val="20"/>
              </w:rPr>
            </w:pPr>
          </w:p>
        </w:tc>
        <w:tc>
          <w:tcPr>
            <w:tcW w:w="840" w:type="dxa"/>
            <w:tcBorders>
              <w:top w:val="nil"/>
              <w:left w:val="nil"/>
              <w:bottom w:val="nil"/>
              <w:right w:val="nil"/>
            </w:tcBorders>
            <w:shd w:val="clear" w:color="auto" w:fill="auto"/>
            <w:noWrap/>
            <w:tcMar>
              <w:top w:w="15" w:type="dxa"/>
              <w:left w:w="15" w:type="dxa"/>
              <w:bottom w:w="0" w:type="dxa"/>
              <w:right w:w="15" w:type="dxa"/>
            </w:tcMar>
            <w:vAlign w:val="bottom"/>
          </w:tcPr>
          <w:p>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pPr>
              <w:rPr>
                <w:rFonts w:ascii="Arial" w:hAnsi="Arial" w:cs="Arial"/>
                <w:vanish/>
                <w:sz w:val="20"/>
                <w:szCs w:val="20"/>
              </w:rPr>
            </w:pPr>
          </w:p>
        </w:tc>
        <w:tc>
          <w:tcPr>
            <w:tcW w:w="1319" w:type="dxa"/>
            <w:tcBorders>
              <w:top w:val="nil"/>
              <w:left w:val="nil"/>
              <w:bottom w:val="nil"/>
              <w:right w:val="nil"/>
            </w:tcBorders>
            <w:shd w:val="clear" w:color="auto" w:fill="auto"/>
            <w:noWrap/>
            <w:tcMar>
              <w:top w:w="15" w:type="dxa"/>
              <w:left w:w="15" w:type="dxa"/>
              <w:bottom w:w="0" w:type="dxa"/>
              <w:right w:w="15" w:type="dxa"/>
            </w:tcMar>
            <w:vAlign w:val="bottom"/>
          </w:tcPr>
          <w:p>
            <w:pPr>
              <w:rPr>
                <w:rFonts w:ascii="Arial" w:hAnsi="Arial" w:cs="Arial"/>
                <w:vanish/>
                <w:sz w:val="20"/>
                <w:szCs w:val="20"/>
              </w:rPr>
            </w:pP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2NmFiNjNhMWQ0YzA1OWFkODhiMjEzODllMTdmNzUifQ=="/>
  </w:docVars>
  <w:rsids>
    <w:rsidRoot w:val="00857DAE"/>
    <w:rsid w:val="000227CC"/>
    <w:rsid w:val="00027583"/>
    <w:rsid w:val="0005797A"/>
    <w:rsid w:val="000A753F"/>
    <w:rsid w:val="000D6913"/>
    <w:rsid w:val="00135BA0"/>
    <w:rsid w:val="00146D27"/>
    <w:rsid w:val="00154572"/>
    <w:rsid w:val="001865A9"/>
    <w:rsid w:val="001A45C6"/>
    <w:rsid w:val="00210D2C"/>
    <w:rsid w:val="0027417E"/>
    <w:rsid w:val="00277E96"/>
    <w:rsid w:val="00295EA9"/>
    <w:rsid w:val="002F132B"/>
    <w:rsid w:val="00320B72"/>
    <w:rsid w:val="003309F6"/>
    <w:rsid w:val="003311D3"/>
    <w:rsid w:val="00371193"/>
    <w:rsid w:val="003D5254"/>
    <w:rsid w:val="00421DBC"/>
    <w:rsid w:val="00422096"/>
    <w:rsid w:val="00465368"/>
    <w:rsid w:val="00507C7E"/>
    <w:rsid w:val="005365FF"/>
    <w:rsid w:val="005530C8"/>
    <w:rsid w:val="005A4855"/>
    <w:rsid w:val="005B3C15"/>
    <w:rsid w:val="00610E39"/>
    <w:rsid w:val="0063349A"/>
    <w:rsid w:val="0063730A"/>
    <w:rsid w:val="00655009"/>
    <w:rsid w:val="00687228"/>
    <w:rsid w:val="006B065A"/>
    <w:rsid w:val="006E5E74"/>
    <w:rsid w:val="007471FF"/>
    <w:rsid w:val="007615B8"/>
    <w:rsid w:val="007615EF"/>
    <w:rsid w:val="007905BA"/>
    <w:rsid w:val="007D410D"/>
    <w:rsid w:val="00857DAE"/>
    <w:rsid w:val="008B69AC"/>
    <w:rsid w:val="0099571D"/>
    <w:rsid w:val="009B2F6A"/>
    <w:rsid w:val="009D57D9"/>
    <w:rsid w:val="00A63BDD"/>
    <w:rsid w:val="00A919F2"/>
    <w:rsid w:val="00A970CD"/>
    <w:rsid w:val="00AB1312"/>
    <w:rsid w:val="00AB15D9"/>
    <w:rsid w:val="00AE42C0"/>
    <w:rsid w:val="00B10E19"/>
    <w:rsid w:val="00B15E35"/>
    <w:rsid w:val="00B6380C"/>
    <w:rsid w:val="00B869C7"/>
    <w:rsid w:val="00B948BC"/>
    <w:rsid w:val="00BE0B02"/>
    <w:rsid w:val="00BF549A"/>
    <w:rsid w:val="00C10620"/>
    <w:rsid w:val="00C37A85"/>
    <w:rsid w:val="00C87E85"/>
    <w:rsid w:val="00C9508A"/>
    <w:rsid w:val="00CD2CA9"/>
    <w:rsid w:val="00CE3F84"/>
    <w:rsid w:val="00CE6115"/>
    <w:rsid w:val="00CF3DEA"/>
    <w:rsid w:val="00D159A7"/>
    <w:rsid w:val="00D74E9C"/>
    <w:rsid w:val="00DC3C89"/>
    <w:rsid w:val="00DF4CEA"/>
    <w:rsid w:val="00E2688E"/>
    <w:rsid w:val="00E504B2"/>
    <w:rsid w:val="00E632B8"/>
    <w:rsid w:val="00E86A5D"/>
    <w:rsid w:val="00E9615F"/>
    <w:rsid w:val="00EA1C55"/>
    <w:rsid w:val="00EA7D5C"/>
    <w:rsid w:val="00EC507F"/>
    <w:rsid w:val="00F051B3"/>
    <w:rsid w:val="00F66D21"/>
    <w:rsid w:val="00F74F9B"/>
    <w:rsid w:val="00FD578E"/>
    <w:rsid w:val="49B17D3D"/>
    <w:rsid w:val="625F0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闻政标题4 Char"/>
    <w:link w:val="10"/>
    <w:qFormat/>
    <w:locked/>
    <w:uiPriority w:val="0"/>
    <w:rPr>
      <w:rFonts w:ascii="仿宋_GB2312" w:eastAsia="仿宋_GB2312"/>
      <w:b/>
      <w:bCs/>
      <w:sz w:val="28"/>
      <w:szCs w:val="32"/>
    </w:rPr>
  </w:style>
  <w:style w:type="paragraph" w:customStyle="1" w:styleId="10">
    <w:name w:val="闻政标题4"/>
    <w:basedOn w:val="2"/>
    <w:link w:val="9"/>
    <w:qFormat/>
    <w:uiPriority w:val="0"/>
    <w:pPr>
      <w:spacing w:before="120" w:after="60" w:line="500" w:lineRule="exact"/>
      <w:ind w:firstLine="200" w:firstLineChars="200"/>
      <w:jc w:val="left"/>
    </w:pPr>
    <w:rPr>
      <w:rFonts w:ascii="仿宋_GB2312" w:eastAsia="仿宋_GB2312" w:hAnsiTheme="minorHAnsi" w:cstheme="minorBidi"/>
      <w:sz w:val="28"/>
    </w:rPr>
  </w:style>
  <w:style w:type="character" w:customStyle="1" w:styleId="11">
    <w:name w:val="标题 2 Char"/>
    <w:basedOn w:val="6"/>
    <w:link w:val="2"/>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3867</Words>
  <Characters>4208</Characters>
  <Lines>12</Lines>
  <Paragraphs>3</Paragraphs>
  <TotalTime>108</TotalTime>
  <ScaleCrop>false</ScaleCrop>
  <LinksUpToDate>false</LinksUpToDate>
  <CharactersWithSpaces>4210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2022-01-12T10:53:00Z</dcterms:created>
  <dc:creator>成 王</dc:creator>
  <cp:lastModifiedBy>LIJIAO</cp:lastModifiedBy>
  <dcterms:modified xsi:type="dcterms:W3CDTF">2023-08-11T08:04:11Z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F7F148BB44D0470C92BF2D988023547F_12</vt:lpwstr>
  </property>
</Properties>
</file>