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horzAnchor="margin" w:tblpXSpec="center" w:tblpYSpec="top"/>
        <w:tblOverlap w:val="never"/>
        <w:tblW w:w="0" w:type="auto"/>
        <w:tblInd w:w="0" w:type="dxa"/>
        <w:tblLayout w:type="autofit"/>
        <w:tblCellMar>
          <w:top w:w="0" w:type="dxa"/>
          <w:left w:w="0" w:type="dxa"/>
          <w:bottom w:w="0" w:type="dxa"/>
          <w:right w:w="0" w:type="dxa"/>
        </w:tblCellMar>
      </w:tblPr>
      <w:tblGrid>
        <w:gridCol w:w="6620"/>
        <w:gridCol w:w="2224"/>
      </w:tblGrid>
      <w:tr>
        <w:tblPrEx>
          <w:tblCellMar>
            <w:top w:w="0" w:type="dxa"/>
            <w:left w:w="0" w:type="dxa"/>
            <w:bottom w:w="0" w:type="dxa"/>
            <w:right w:w="0" w:type="dxa"/>
          </w:tblCellMar>
        </w:tblPrEx>
        <w:tc>
          <w:tcPr>
            <w:tcW w:w="6620" w:type="dxa"/>
            <w:shd w:val="clear" w:color="auto" w:fill="auto"/>
          </w:tcPr>
          <w:p>
            <w:pPr>
              <w:pStyle w:val="23"/>
              <w:adjustRightInd w:val="0"/>
              <w:spacing w:before="0" w:line="1000" w:lineRule="exact"/>
              <w:ind w:left="474" w:leftChars="150" w:right="63" w:rightChars="20"/>
              <w:rPr>
                <w:rFonts w:ascii="Times New Roman"/>
                <w:spacing w:val="-10"/>
              </w:rPr>
            </w:pPr>
            <w:bookmarkStart w:id="0" w:name="HideBt" w:colFirst="0" w:colLast="1"/>
            <w:r>
              <w:rPr>
                <w:rFonts w:hint="eastAsia" w:ascii="Times New Roman"/>
                <w:spacing w:val="-10"/>
              </w:rPr>
              <w:t>江苏省科学技术厅</w:t>
            </w:r>
          </w:p>
          <w:p>
            <w:pPr>
              <w:pStyle w:val="23"/>
              <w:adjustRightInd w:val="0"/>
              <w:spacing w:before="0" w:line="1000" w:lineRule="exact"/>
              <w:ind w:left="474" w:leftChars="150" w:right="63" w:rightChars="20"/>
              <w:rPr>
                <w:rFonts w:ascii="Times New Roman"/>
              </w:rPr>
            </w:pPr>
            <w:r>
              <w:rPr>
                <w:rFonts w:hint="eastAsia" w:ascii="Times New Roman"/>
              </w:rPr>
              <w:t>江苏省财政厅</w:t>
            </w:r>
          </w:p>
          <w:p>
            <w:pPr>
              <w:pStyle w:val="23"/>
              <w:adjustRightInd w:val="0"/>
              <w:spacing w:before="0" w:line="1000" w:lineRule="exact"/>
              <w:ind w:left="474" w:leftChars="150" w:right="63" w:rightChars="20"/>
              <w:rPr>
                <w:rFonts w:ascii="Times New Roman"/>
              </w:rPr>
            </w:pPr>
            <w:r>
              <w:rPr>
                <w:rFonts w:hint="eastAsia" w:ascii="Times New Roman"/>
              </w:rPr>
              <w:t>江苏省教育厅</w:t>
            </w:r>
          </w:p>
          <w:p>
            <w:pPr>
              <w:pStyle w:val="23"/>
              <w:adjustRightInd w:val="0"/>
              <w:spacing w:before="0" w:line="1000" w:lineRule="exact"/>
              <w:ind w:left="474" w:leftChars="150" w:right="63" w:rightChars="20"/>
              <w:rPr>
                <w:rFonts w:ascii="Times New Roman"/>
                <w:spacing w:val="-14"/>
                <w:w w:val="50"/>
              </w:rPr>
            </w:pPr>
            <w:r>
              <w:rPr>
                <w:rFonts w:hint="eastAsia" w:ascii="Times New Roman"/>
                <w:spacing w:val="-14"/>
                <w:w w:val="50"/>
              </w:rPr>
              <w:t>江苏省人力资源和社会保障厅</w:t>
            </w:r>
          </w:p>
          <w:p>
            <w:pPr>
              <w:pStyle w:val="23"/>
              <w:adjustRightInd w:val="0"/>
              <w:spacing w:before="0" w:line="1000" w:lineRule="exact"/>
              <w:ind w:left="474" w:leftChars="150" w:right="63" w:rightChars="20"/>
              <w:rPr>
                <w:rFonts w:ascii="Times New Roman"/>
                <w:spacing w:val="-20"/>
              </w:rPr>
            </w:pPr>
            <w:r>
              <w:rPr>
                <w:rFonts w:hint="eastAsia" w:ascii="Times New Roman"/>
                <w:spacing w:val="-20"/>
              </w:rPr>
              <w:t>江苏省农业农村厅</w:t>
            </w:r>
          </w:p>
          <w:p>
            <w:pPr>
              <w:pStyle w:val="23"/>
              <w:adjustRightInd w:val="0"/>
              <w:spacing w:before="0" w:line="1000" w:lineRule="exact"/>
              <w:ind w:left="474" w:leftChars="150" w:right="63" w:rightChars="20"/>
              <w:rPr>
                <w:rFonts w:ascii="Times New Roman"/>
                <w:spacing w:val="-36"/>
                <w:w w:val="66"/>
              </w:rPr>
            </w:pPr>
            <w:r>
              <w:rPr>
                <w:rFonts w:hint="eastAsia" w:ascii="Times New Roman"/>
                <w:spacing w:val="-36"/>
                <w:w w:val="66"/>
              </w:rPr>
              <w:t>江苏省卫生健康委员会</w:t>
            </w:r>
          </w:p>
          <w:p>
            <w:pPr>
              <w:pStyle w:val="23"/>
              <w:adjustRightInd w:val="0"/>
              <w:spacing w:before="0" w:line="1000" w:lineRule="exact"/>
              <w:ind w:left="474" w:leftChars="150" w:right="63" w:rightChars="20"/>
              <w:rPr>
                <w:rFonts w:ascii="Times New Roman"/>
                <w:spacing w:val="-20"/>
              </w:rPr>
            </w:pPr>
            <w:r>
              <w:rPr>
                <w:rFonts w:hint="eastAsia" w:ascii="Times New Roman"/>
                <w:spacing w:val="-20"/>
              </w:rPr>
              <w:t>江苏省市场监督管理局</w:t>
            </w:r>
          </w:p>
        </w:tc>
        <w:tc>
          <w:tcPr>
            <w:tcW w:w="2224" w:type="dxa"/>
            <w:shd w:val="clear" w:color="auto" w:fill="auto"/>
            <w:vAlign w:val="center"/>
          </w:tcPr>
          <w:p>
            <w:pPr>
              <w:pStyle w:val="23"/>
              <w:spacing w:before="480" w:line="900" w:lineRule="exact"/>
              <w:ind w:right="474" w:rightChars="150"/>
              <w:jc w:val="center"/>
            </w:pPr>
            <w:r>
              <w:rPr>
                <w:rFonts w:hint="eastAsia" w:ascii="Times New Roman"/>
                <w:spacing w:val="-20"/>
                <w:w w:val="65"/>
                <w:sz w:val="116"/>
              </w:rPr>
              <w:t>文件</w:t>
            </w:r>
          </w:p>
        </w:tc>
      </w:tr>
      <w:bookmarkEnd w:id="0"/>
      <w:tr>
        <w:tblPrEx>
          <w:tblCellMar>
            <w:top w:w="0" w:type="dxa"/>
            <w:left w:w="0" w:type="dxa"/>
            <w:bottom w:w="0" w:type="dxa"/>
            <w:right w:w="0" w:type="dxa"/>
          </w:tblCellMar>
        </w:tblPrEx>
        <w:tc>
          <w:tcPr>
            <w:tcW w:w="8844" w:type="dxa"/>
            <w:gridSpan w:val="2"/>
            <w:shd w:val="clear" w:color="auto" w:fill="auto"/>
          </w:tcPr>
          <w:p>
            <w:pPr>
              <w:tabs>
                <w:tab w:val="right" w:pos="8505"/>
              </w:tabs>
              <w:overflowPunct w:val="0"/>
              <w:spacing w:before="590" w:beforeLines="100" w:line="700" w:lineRule="exact"/>
              <w:ind w:left="316" w:leftChars="100" w:right="316" w:rightChars="100" w:firstLine="0"/>
              <w:jc w:val="center"/>
              <w:rPr>
                <w:rFonts w:ascii="方正仿宋_GBK"/>
              </w:rPr>
            </w:pPr>
            <w:bookmarkStart w:id="1" w:name="文号"/>
            <w:bookmarkEnd w:id="1"/>
            <w:r>
              <w:rPr>
                <w:rFonts w:hint="eastAsia" w:ascii="方正仿宋_GBK"/>
              </w:rPr>
              <w:t>苏科技规〔</w:t>
            </w:r>
            <w:r>
              <w:t>2020</w:t>
            </w:r>
            <w:r>
              <w:rPr>
                <w:rFonts w:hint="eastAsia" w:ascii="方正仿宋_GBK"/>
              </w:rPr>
              <w:t>〕</w:t>
            </w:r>
            <w:r>
              <w:t>217</w:t>
            </w:r>
            <w:r>
              <w:rPr>
                <w:rFonts w:hint="eastAsia" w:ascii="方正仿宋_GBK"/>
              </w:rPr>
              <w:t>号</w:t>
            </w:r>
          </w:p>
        </w:tc>
      </w:tr>
      <w:tr>
        <w:tblPrEx>
          <w:tblCellMar>
            <w:top w:w="0" w:type="dxa"/>
            <w:left w:w="0" w:type="dxa"/>
            <w:bottom w:w="0" w:type="dxa"/>
            <w:right w:w="0" w:type="dxa"/>
          </w:tblCellMar>
        </w:tblPrEx>
        <w:tc>
          <w:tcPr>
            <w:tcW w:w="8844" w:type="dxa"/>
            <w:gridSpan w:val="2"/>
            <w:shd w:val="clear" w:color="auto" w:fill="auto"/>
          </w:tcPr>
          <w:p>
            <w:pPr>
              <w:pStyle w:val="12"/>
              <w:snapToGrid w:val="0"/>
              <w:spacing w:after="0" w:line="200" w:lineRule="atLeast"/>
              <w:ind w:left="-57" w:right="-57"/>
              <w:rPr>
                <w:rFonts w:ascii="Times New Roman" w:eastAsia="方正书宋_GBK"/>
              </w:rPr>
            </w:pPr>
            <w:bookmarkStart w:id="2" w:name="HideLine"/>
            <w:r>
              <w:rPr>
                <w:rFonts w:hint="eastAsia" w:hAnsi="宋体" w:cs="宋体"/>
                <w:color w:val="FF0000"/>
                <w:sz w:val="52"/>
                <w:szCs w:val="52"/>
              </w:rPr>
              <w:t>─────────────────</w:t>
            </w:r>
            <w:bookmarkEnd w:id="2"/>
          </w:p>
        </w:tc>
      </w:tr>
    </w:tbl>
    <w:p>
      <w:pPr>
        <w:pStyle w:val="11"/>
        <w:spacing w:before="295" w:beforeLines="50" w:line="640" w:lineRule="atLeast"/>
      </w:pPr>
      <w:bookmarkStart w:id="3" w:name="标题"/>
      <w:bookmarkEnd w:id="3"/>
      <w:r>
        <w:rPr>
          <w:rFonts w:hint="eastAsia"/>
        </w:rPr>
        <w:t>关于印发《江苏省科技资源统筹服务</w:t>
      </w:r>
    </w:p>
    <w:p>
      <w:pPr>
        <w:pStyle w:val="11"/>
        <w:spacing w:line="640" w:lineRule="atLeast"/>
      </w:pPr>
      <w:r>
        <w:rPr>
          <w:rFonts w:hint="eastAsia"/>
        </w:rPr>
        <w:t>管理办法（试行）》的通知</w:t>
      </w:r>
    </w:p>
    <w:p/>
    <w:p>
      <w:pPr>
        <w:ind w:firstLine="0"/>
      </w:pPr>
      <w:bookmarkStart w:id="4" w:name="主送单位"/>
      <w:bookmarkEnd w:id="4"/>
      <w:r>
        <w:t>各有关单位：</w:t>
      </w:r>
      <w:bookmarkStart w:id="5" w:name="正文文件"/>
      <w:bookmarkEnd w:id="5"/>
      <w:bookmarkStart w:id="6" w:name="正文开始"/>
      <w:bookmarkEnd w:id="6"/>
    </w:p>
    <w:p>
      <w:pPr>
        <w:ind w:firstLine="632" w:firstLineChars="200"/>
      </w:pPr>
      <w:r>
        <w:rPr>
          <w:rFonts w:hint="eastAsia"/>
          <w:szCs w:val="32"/>
        </w:rPr>
        <w:t>为推动科技资源统筹集成与开放服务，构建科技资源统筹服务体系，充分发挥科技资源对科技创新和经济社会发展的基础性支撑作用，根据《中华人民共和国科学技术进步法》以及《国务院关于国家重大科研基础设施和大型科研仪器向社会开放的意见》（国办〔</w:t>
      </w:r>
      <w:r>
        <w:rPr>
          <w:szCs w:val="32"/>
        </w:rPr>
        <w:t>2014</w:t>
      </w:r>
      <w:r>
        <w:rPr>
          <w:rFonts w:hint="eastAsia"/>
          <w:szCs w:val="32"/>
        </w:rPr>
        <w:t>〕</w:t>
      </w:r>
      <w:r>
        <w:rPr>
          <w:szCs w:val="32"/>
        </w:rPr>
        <w:t>70</w:t>
      </w:r>
      <w:r>
        <w:rPr>
          <w:rFonts w:hint="eastAsia"/>
          <w:szCs w:val="32"/>
        </w:rPr>
        <w:t>号）《科学数据管理办法》（国办发〔</w:t>
      </w:r>
      <w:r>
        <w:rPr>
          <w:szCs w:val="32"/>
        </w:rPr>
        <w:t>2018</w:t>
      </w:r>
      <w:r>
        <w:rPr>
          <w:rFonts w:hint="eastAsia"/>
          <w:szCs w:val="32"/>
        </w:rPr>
        <w:t>〕</w:t>
      </w:r>
      <w:r>
        <w:rPr>
          <w:szCs w:val="32"/>
        </w:rPr>
        <w:t>17</w:t>
      </w:r>
      <w:r>
        <w:rPr>
          <w:rFonts w:hint="eastAsia"/>
          <w:szCs w:val="32"/>
        </w:rPr>
        <w:t>号）《国务院办公厅关于加强农业种质资源保护与利用的意见》（国办发〔</w:t>
      </w:r>
      <w:r>
        <w:rPr>
          <w:szCs w:val="32"/>
        </w:rPr>
        <w:t>2019</w:t>
      </w:r>
      <w:r>
        <w:rPr>
          <w:rFonts w:hint="eastAsia"/>
          <w:szCs w:val="32"/>
        </w:rPr>
        <w:t>〕</w:t>
      </w:r>
      <w:r>
        <w:rPr>
          <w:szCs w:val="32"/>
        </w:rPr>
        <w:t>56</w:t>
      </w:r>
      <w:r>
        <w:rPr>
          <w:rFonts w:hint="eastAsia"/>
          <w:szCs w:val="32"/>
        </w:rPr>
        <w:t>号）等</w:t>
      </w:r>
      <w:r>
        <w:rPr>
          <w:color w:val="000000"/>
          <w:szCs w:val="32"/>
        </w:rPr>
        <w:t>有关要求，我们制定了《</w:t>
      </w:r>
      <w:r>
        <w:rPr>
          <w:rFonts w:hint="eastAsia"/>
          <w:color w:val="000000"/>
          <w:szCs w:val="32"/>
        </w:rPr>
        <w:t>江苏省科技资源统筹服务管理办法（试行）</w:t>
      </w:r>
      <w:r>
        <w:rPr>
          <w:color w:val="000000"/>
          <w:szCs w:val="32"/>
        </w:rPr>
        <w:t>》，现印发给你们，请遵照执行。</w:t>
      </w:r>
    </w:p>
    <w:p>
      <w:pPr>
        <w:spacing w:line="640" w:lineRule="atLeast"/>
        <w:ind w:firstLine="632" w:firstLineChars="200"/>
        <w:rPr>
          <w:rFonts w:ascii="方正仿宋_GBK"/>
          <w:color w:val="000000"/>
        </w:rPr>
      </w:pPr>
      <w:r>
        <w:rPr>
          <w:rFonts w:hint="eastAsia" w:ascii="方正仿宋_GBK"/>
          <w:color w:val="000000"/>
        </w:rPr>
        <w:t xml:space="preserve"> </w:t>
      </w:r>
      <w:bookmarkStart w:id="7" w:name="正文结束"/>
      <w:bookmarkEnd w:id="7"/>
      <w:bookmarkStart w:id="8" w:name="附件名称"/>
      <w:bookmarkEnd w:id="8"/>
    </w:p>
    <w:p>
      <w:pPr>
        <w:spacing w:line="640" w:lineRule="atLeast"/>
        <w:ind w:firstLine="632" w:firstLineChars="200"/>
      </w:pPr>
      <w:r>
        <w:rPr>
          <w:rFonts w:hint="eastAsia"/>
        </w:rPr>
        <w:t>附件：</w:t>
      </w:r>
      <w:r>
        <w:rPr>
          <w:rFonts w:hint="eastAsia"/>
          <w:color w:val="000000"/>
          <w:szCs w:val="32"/>
        </w:rPr>
        <w:t>江苏省科技资源统筹服务管理办法（试行）</w:t>
      </w:r>
    </w:p>
    <w:p/>
    <w:p/>
    <w:p/>
    <w:p/>
    <w:p/>
    <w:p/>
    <w:p/>
    <w:p/>
    <w:p/>
    <w:p/>
    <w:p/>
    <w:p/>
    <w:p/>
    <w:p>
      <w:r>
        <w:rPr>
          <w:rFonts w:hint="eastAsia"/>
        </w:rPr>
        <w:t>（此页无正文）</w:t>
      </w:r>
    </w:p>
    <w:p/>
    <w:p/>
    <w:p/>
    <w:p/>
    <w:p>
      <w:r>
        <w:rPr>
          <w:rFonts w:hint="eastAsia"/>
        </w:rPr>
        <w:t>江苏省科学技术厅                江苏省财政厅</w:t>
      </w:r>
    </w:p>
    <w:p/>
    <w:p/>
    <w:p/>
    <w:p>
      <w:r>
        <w:rPr>
          <w:rFonts w:hint="eastAsia"/>
        </w:rPr>
        <w:t>江苏省教育厅             江苏省人力资源和社会保障厅</w:t>
      </w:r>
    </w:p>
    <w:p/>
    <w:p/>
    <w:p/>
    <w:p>
      <w:r>
        <w:rPr>
          <w:rFonts w:hint="eastAsia"/>
        </w:rPr>
        <w:t>江苏省农业农村厅            江苏省卫生健康委员会</w:t>
      </w:r>
    </w:p>
    <w:p/>
    <w:p/>
    <w:p/>
    <w:p>
      <w:pPr>
        <w:ind w:right="471"/>
        <w:jc w:val="right"/>
      </w:pPr>
      <w:r>
        <w:rPr>
          <w:rFonts w:hint="eastAsia"/>
        </w:rPr>
        <w:t>江苏省市场监督管理局</w:t>
      </w:r>
    </w:p>
    <w:p>
      <w:r>
        <w:rPr>
          <w:rFonts w:hint="eastAsia"/>
        </w:rPr>
        <w:t xml:space="preserve">                                2020年8月11日</w:t>
      </w:r>
    </w:p>
    <w:p>
      <w:r>
        <w:rPr>
          <w:rFonts w:hint="eastAsia"/>
        </w:rPr>
        <w:t>（此件主动公开）</w:t>
      </w:r>
    </w:p>
    <w:p>
      <w:pPr>
        <w:widowControl/>
        <w:autoSpaceDE/>
        <w:autoSpaceDN/>
        <w:snapToGrid/>
        <w:spacing w:line="240" w:lineRule="auto"/>
        <w:ind w:firstLine="0"/>
        <w:jc w:val="left"/>
        <w:rPr>
          <w:rFonts w:eastAsia="黑体"/>
        </w:rPr>
      </w:pPr>
      <w:r>
        <w:rPr>
          <w:rFonts w:eastAsia="黑体"/>
        </w:rPr>
        <w:br w:type="page"/>
      </w:r>
    </w:p>
    <w:p>
      <w:pPr>
        <w:spacing w:line="590" w:lineRule="exact"/>
        <w:ind w:firstLine="0"/>
        <w:rPr>
          <w:rFonts w:eastAsia="黑体"/>
        </w:rPr>
      </w:pPr>
      <w:r>
        <w:rPr>
          <w:rFonts w:eastAsia="黑体"/>
        </w:rPr>
        <w:t>附件</w:t>
      </w:r>
    </w:p>
    <w:p>
      <w:pPr>
        <w:shd w:val="clear" w:color="auto" w:fill="FFFFFF"/>
        <w:autoSpaceDE/>
        <w:autoSpaceDN/>
        <w:adjustRightInd w:val="0"/>
        <w:spacing w:line="590" w:lineRule="exact"/>
        <w:ind w:firstLine="0"/>
        <w:rPr>
          <w:rFonts w:eastAsia="黑体"/>
          <w:bCs/>
          <w:snapToGrid/>
          <w:szCs w:val="32"/>
        </w:rPr>
      </w:pPr>
    </w:p>
    <w:p>
      <w:pPr>
        <w:shd w:val="clear" w:color="auto" w:fill="FFFFFF"/>
        <w:autoSpaceDE/>
        <w:autoSpaceDN/>
        <w:adjustRightInd w:val="0"/>
        <w:spacing w:line="590" w:lineRule="exact"/>
        <w:ind w:firstLine="0"/>
        <w:jc w:val="center"/>
        <w:rPr>
          <w:rFonts w:eastAsia="方正楷体_GBK"/>
          <w:bCs/>
          <w:snapToGrid/>
          <w:szCs w:val="32"/>
        </w:rPr>
      </w:pPr>
      <w:r>
        <w:rPr>
          <w:rFonts w:eastAsia="方正小标宋_GBK"/>
          <w:bCs/>
          <w:snapToGrid/>
          <w:sz w:val="44"/>
          <w:szCs w:val="44"/>
        </w:rPr>
        <w:t>江苏省科技资源统筹服务管理办法（试行）</w:t>
      </w:r>
    </w:p>
    <w:p>
      <w:pPr>
        <w:widowControl/>
        <w:shd w:val="clear" w:color="auto" w:fill="FFFFFF"/>
        <w:autoSpaceDE/>
        <w:autoSpaceDN/>
        <w:adjustRightInd w:val="0"/>
        <w:snapToGrid/>
        <w:spacing w:line="590" w:lineRule="exact"/>
        <w:ind w:firstLine="0"/>
        <w:contextualSpacing/>
        <w:jc w:val="center"/>
        <w:rPr>
          <w:rFonts w:eastAsia="方正楷体_GBK"/>
          <w:bCs/>
          <w:snapToGrid/>
          <w:szCs w:val="32"/>
        </w:rPr>
      </w:pPr>
    </w:p>
    <w:p>
      <w:pPr>
        <w:autoSpaceDE/>
        <w:autoSpaceDN/>
        <w:adjustRightInd w:val="0"/>
        <w:spacing w:after="295" w:afterLines="50" w:line="590" w:lineRule="exact"/>
        <w:ind w:firstLine="0"/>
        <w:jc w:val="center"/>
        <w:outlineLvl w:val="0"/>
        <w:rPr>
          <w:rFonts w:eastAsia="黑体"/>
          <w:snapToGrid/>
          <w:szCs w:val="32"/>
        </w:rPr>
      </w:pPr>
      <w:r>
        <w:rPr>
          <w:rFonts w:eastAsia="黑体"/>
          <w:snapToGrid/>
          <w:szCs w:val="32"/>
        </w:rPr>
        <w:t xml:space="preserve">第一章 </w:t>
      </w:r>
      <w:r>
        <w:rPr>
          <w:rFonts w:hint="eastAsia" w:eastAsia="黑体"/>
          <w:snapToGrid/>
          <w:szCs w:val="32"/>
        </w:rPr>
        <w:t xml:space="preserve"> </w:t>
      </w:r>
      <w:r>
        <w:rPr>
          <w:rFonts w:eastAsia="黑体"/>
          <w:snapToGrid/>
          <w:szCs w:val="32"/>
        </w:rPr>
        <w:t>总</w:t>
      </w:r>
      <w:r>
        <w:rPr>
          <w:rFonts w:hint="eastAsia" w:eastAsia="黑体"/>
          <w:snapToGrid/>
          <w:szCs w:val="32"/>
        </w:rPr>
        <w:t xml:space="preserve"> </w:t>
      </w:r>
      <w:r>
        <w:rPr>
          <w:rFonts w:eastAsia="黑体"/>
          <w:snapToGrid/>
          <w:szCs w:val="32"/>
        </w:rPr>
        <w:t xml:space="preserve"> 则</w:t>
      </w:r>
    </w:p>
    <w:p>
      <w:pPr>
        <w:widowControl/>
        <w:shd w:val="clear" w:color="auto" w:fill="FFFFFF"/>
        <w:autoSpaceDE/>
        <w:autoSpaceDN/>
        <w:adjustRightInd w:val="0"/>
        <w:spacing w:line="590" w:lineRule="exact"/>
        <w:ind w:firstLine="632" w:firstLineChars="200"/>
        <w:rPr>
          <w:snapToGrid/>
          <w:szCs w:val="32"/>
        </w:rPr>
      </w:pPr>
      <w:r>
        <w:rPr>
          <w:rFonts w:eastAsia="黑体"/>
          <w:bCs/>
          <w:snapToGrid/>
          <w:szCs w:val="32"/>
        </w:rPr>
        <w:t>第一条</w:t>
      </w:r>
      <w:r>
        <w:rPr>
          <w:bCs/>
          <w:snapToGrid/>
          <w:szCs w:val="32"/>
        </w:rPr>
        <w:t xml:space="preserve"> </w:t>
      </w:r>
      <w:r>
        <w:rPr>
          <w:rFonts w:hint="eastAsia"/>
          <w:bCs/>
          <w:snapToGrid/>
          <w:szCs w:val="32"/>
        </w:rPr>
        <w:t xml:space="preserve"> </w:t>
      </w:r>
      <w:r>
        <w:rPr>
          <w:snapToGrid/>
          <w:szCs w:val="32"/>
        </w:rPr>
        <w:t>为推动科技资源统筹集成与开放服务，构建科技资源统筹服务体系，充分发挥科技资源对科技创新和经济社会发展的基础性支撑作用，根据《中华人民共和国科学技术进步法》以及《国务院关于国家重大科研基础设施和大型科研仪器向社会开放的意见》（国办〔2014〕70号）《科学数据管理办法》（国办发〔2018〕17号）《国务院办公厅关于加强农业种质资源保护与利用的意见》（国办发〔2019〕56号）等，结合江苏实际，制定本办法。</w:t>
      </w:r>
    </w:p>
    <w:p>
      <w:pPr>
        <w:widowControl/>
        <w:autoSpaceDE/>
        <w:autoSpaceDN/>
        <w:adjustRightInd w:val="0"/>
        <w:spacing w:line="590" w:lineRule="exact"/>
        <w:ind w:firstLine="632" w:firstLineChars="200"/>
        <w:rPr>
          <w:snapToGrid/>
          <w:szCs w:val="32"/>
        </w:rPr>
      </w:pPr>
      <w:r>
        <w:rPr>
          <w:rFonts w:eastAsia="黑体"/>
          <w:bCs/>
          <w:snapToGrid/>
          <w:szCs w:val="32"/>
        </w:rPr>
        <w:t xml:space="preserve">第二条 </w:t>
      </w:r>
      <w:r>
        <w:rPr>
          <w:rFonts w:hint="eastAsia" w:eastAsia="黑体"/>
          <w:bCs/>
          <w:snapToGrid/>
          <w:szCs w:val="32"/>
        </w:rPr>
        <w:t xml:space="preserve"> </w:t>
      </w:r>
      <w:r>
        <w:rPr>
          <w:bCs/>
          <w:snapToGrid/>
          <w:szCs w:val="32"/>
        </w:rPr>
        <w:t>本办法所</w:t>
      </w:r>
      <w:r>
        <w:rPr>
          <w:snapToGrid/>
          <w:szCs w:val="32"/>
        </w:rPr>
        <w:t>称科技资源，主要包括科技人才资源，科技创新基地、科技企业孵化器等科技载体资源，科学仪器设备、生物资源、实验材料、科学数据、科技文献等科技条件资源，知识产权、新药、动植物新品种等科技成果资源，以及科技金融、技术转移等科技服务资源。</w:t>
      </w:r>
    </w:p>
    <w:p>
      <w:pPr>
        <w:widowControl/>
        <w:autoSpaceDE/>
        <w:autoSpaceDN/>
        <w:adjustRightInd w:val="0"/>
        <w:spacing w:line="590" w:lineRule="exact"/>
        <w:ind w:firstLine="632" w:firstLineChars="200"/>
        <w:rPr>
          <w:rFonts w:eastAsia="黑体"/>
          <w:bCs/>
          <w:snapToGrid/>
          <w:szCs w:val="32"/>
        </w:rPr>
      </w:pPr>
      <w:r>
        <w:rPr>
          <w:bCs/>
          <w:snapToGrid/>
          <w:szCs w:val="32"/>
        </w:rPr>
        <w:t>本办法所称</w:t>
      </w:r>
      <w:r>
        <w:rPr>
          <w:snapToGrid/>
          <w:szCs w:val="32"/>
        </w:rPr>
        <w:t>公共科技资源，是指利用</w:t>
      </w:r>
      <w:r>
        <w:rPr>
          <w:snapToGrid/>
          <w:kern w:val="2"/>
          <w:szCs w:val="32"/>
        </w:rPr>
        <w:t>财政性资金</w:t>
      </w:r>
      <w:r>
        <w:rPr>
          <w:snapToGrid/>
          <w:szCs w:val="32"/>
        </w:rPr>
        <w:t>或者国有资本形成的科技资源。</w:t>
      </w:r>
    </w:p>
    <w:p>
      <w:pPr>
        <w:rPr>
          <w:snapToGrid/>
        </w:rPr>
      </w:pPr>
      <w:r>
        <w:rPr>
          <w:rFonts w:eastAsia="黑体"/>
          <w:bCs/>
          <w:snapToGrid/>
        </w:rPr>
        <w:t>第三条</w:t>
      </w:r>
      <w:r>
        <w:rPr>
          <w:bCs/>
          <w:snapToGrid/>
        </w:rPr>
        <w:t xml:space="preserve"> </w:t>
      </w:r>
      <w:r>
        <w:rPr>
          <w:rFonts w:hint="eastAsia"/>
          <w:bCs/>
          <w:snapToGrid/>
        </w:rPr>
        <w:t xml:space="preserve"> </w:t>
      </w:r>
      <w:r>
        <w:rPr>
          <w:snapToGrid/>
        </w:rPr>
        <w:t>本办法适用于省属高等学校、科研院所及其他拥有公共科技资源的单位（以下统称管理单位）。</w:t>
      </w:r>
    </w:p>
    <w:p>
      <w:pPr>
        <w:widowControl/>
        <w:autoSpaceDE/>
        <w:autoSpaceDN/>
        <w:adjustRightInd w:val="0"/>
        <w:spacing w:line="590" w:lineRule="exact"/>
        <w:ind w:firstLine="632" w:firstLineChars="200"/>
        <w:rPr>
          <w:snapToGrid/>
          <w:szCs w:val="32"/>
        </w:rPr>
      </w:pPr>
      <w:r>
        <w:rPr>
          <w:rFonts w:eastAsia="黑体"/>
          <w:bCs/>
          <w:snapToGrid/>
          <w:szCs w:val="32"/>
        </w:rPr>
        <w:t xml:space="preserve">第四条 </w:t>
      </w:r>
      <w:r>
        <w:rPr>
          <w:rFonts w:hint="eastAsia" w:eastAsia="黑体"/>
          <w:bCs/>
          <w:snapToGrid/>
          <w:szCs w:val="32"/>
        </w:rPr>
        <w:t xml:space="preserve"> </w:t>
      </w:r>
      <w:r>
        <w:rPr>
          <w:snapToGrid/>
          <w:szCs w:val="32"/>
        </w:rPr>
        <w:t>本办法所称统筹集成与开放服务，是指管理单位依法依规将公共科技资源纳入江苏省科技资源统筹服务平台（以下简称省统筹平台）统一规范管理，面向社会开放，服务其他单位、组织或个人开展科学研究和技术开发等活动的行为。</w:t>
      </w:r>
    </w:p>
    <w:p>
      <w:pPr>
        <w:autoSpaceDE/>
        <w:autoSpaceDN/>
        <w:adjustRightInd w:val="0"/>
        <w:spacing w:before="295" w:beforeLines="50" w:after="295" w:afterLines="50" w:line="590" w:lineRule="exact"/>
        <w:ind w:firstLine="0"/>
        <w:jc w:val="center"/>
        <w:outlineLvl w:val="0"/>
        <w:rPr>
          <w:rFonts w:eastAsia="黑体"/>
          <w:bCs/>
          <w:snapToGrid/>
          <w:szCs w:val="32"/>
        </w:rPr>
      </w:pPr>
      <w:r>
        <w:rPr>
          <w:rFonts w:eastAsia="黑体"/>
          <w:bCs/>
          <w:snapToGrid/>
          <w:szCs w:val="32"/>
        </w:rPr>
        <w:t xml:space="preserve">第二章 </w:t>
      </w:r>
      <w:r>
        <w:rPr>
          <w:rFonts w:hint="eastAsia" w:eastAsia="黑体"/>
          <w:bCs/>
          <w:snapToGrid/>
          <w:szCs w:val="32"/>
        </w:rPr>
        <w:t xml:space="preserve"> </w:t>
      </w:r>
      <w:r>
        <w:rPr>
          <w:rFonts w:eastAsia="黑体"/>
          <w:bCs/>
          <w:snapToGrid/>
          <w:szCs w:val="32"/>
        </w:rPr>
        <w:t xml:space="preserve">职 </w:t>
      </w:r>
      <w:r>
        <w:rPr>
          <w:rFonts w:hint="eastAsia" w:eastAsia="黑体"/>
          <w:bCs/>
          <w:snapToGrid/>
          <w:szCs w:val="32"/>
        </w:rPr>
        <w:t xml:space="preserve"> </w:t>
      </w:r>
      <w:r>
        <w:rPr>
          <w:rFonts w:eastAsia="黑体"/>
          <w:bCs/>
          <w:snapToGrid/>
          <w:szCs w:val="32"/>
        </w:rPr>
        <w:t>责</w:t>
      </w:r>
    </w:p>
    <w:p>
      <w:pPr>
        <w:widowControl/>
        <w:shd w:val="clear" w:color="auto" w:fill="FFFFFF"/>
        <w:autoSpaceDE/>
        <w:autoSpaceDN/>
        <w:adjustRightInd w:val="0"/>
        <w:spacing w:line="590" w:lineRule="exact"/>
        <w:ind w:firstLine="632" w:firstLineChars="200"/>
        <w:rPr>
          <w:snapToGrid/>
          <w:szCs w:val="32"/>
        </w:rPr>
      </w:pPr>
      <w:r>
        <w:rPr>
          <w:rFonts w:eastAsia="黑体"/>
          <w:bCs/>
          <w:snapToGrid/>
          <w:szCs w:val="32"/>
        </w:rPr>
        <w:t xml:space="preserve">第五条 </w:t>
      </w:r>
      <w:r>
        <w:rPr>
          <w:rFonts w:hint="eastAsia" w:eastAsia="黑体"/>
          <w:bCs/>
          <w:snapToGrid/>
          <w:szCs w:val="32"/>
        </w:rPr>
        <w:t xml:space="preserve"> </w:t>
      </w:r>
      <w:r>
        <w:rPr>
          <w:snapToGrid/>
          <w:szCs w:val="32"/>
        </w:rPr>
        <w:t>省统筹平台理事会（以下简称理事会）负责研究审定省科技资源统筹服务总体规划和年度计划、管理制度、支持政策等重大事项。理事会各成员单位按照职责分工，共同推进全省科技资源统筹服务工作。理事会办公室设在省科技厅，负责日常管理和理事会交办事项。</w:t>
      </w:r>
    </w:p>
    <w:p>
      <w:pPr>
        <w:widowControl/>
        <w:shd w:val="clear" w:color="auto" w:fill="FFFFFF"/>
        <w:autoSpaceDE/>
        <w:autoSpaceDN/>
        <w:adjustRightInd w:val="0"/>
        <w:spacing w:line="590" w:lineRule="exact"/>
        <w:ind w:firstLine="629"/>
        <w:rPr>
          <w:snapToGrid/>
          <w:szCs w:val="32"/>
        </w:rPr>
      </w:pPr>
      <w:r>
        <w:rPr>
          <w:rFonts w:eastAsia="黑体"/>
          <w:bCs/>
          <w:snapToGrid/>
          <w:szCs w:val="32"/>
        </w:rPr>
        <w:t xml:space="preserve">第六条 </w:t>
      </w:r>
      <w:r>
        <w:rPr>
          <w:rFonts w:hint="eastAsia" w:eastAsia="黑体"/>
          <w:bCs/>
          <w:snapToGrid/>
          <w:szCs w:val="32"/>
        </w:rPr>
        <w:t xml:space="preserve"> </w:t>
      </w:r>
      <w:r>
        <w:rPr>
          <w:snapToGrid/>
          <w:szCs w:val="32"/>
        </w:rPr>
        <w:t>省统筹平台专业委员会由相关领域知名专家学者和行业主管部门管理人员组成，负责审议科技资源服务技术标准和运行规范，指导科学研究、技术交流、开放服务，为制定科技资源统筹服务总体规划、年度计划、管理制度等提供决策咨询等。</w:t>
      </w:r>
    </w:p>
    <w:p>
      <w:pPr>
        <w:widowControl/>
        <w:shd w:val="clear" w:color="auto" w:fill="FFFFFF"/>
        <w:autoSpaceDE/>
        <w:autoSpaceDN/>
        <w:adjustRightInd w:val="0"/>
        <w:spacing w:line="590" w:lineRule="exact"/>
        <w:ind w:firstLine="632" w:firstLineChars="200"/>
        <w:rPr>
          <w:snapToGrid/>
          <w:szCs w:val="32"/>
        </w:rPr>
      </w:pPr>
      <w:r>
        <w:rPr>
          <w:rFonts w:eastAsia="黑体"/>
          <w:bCs/>
          <w:snapToGrid/>
          <w:szCs w:val="32"/>
        </w:rPr>
        <w:t xml:space="preserve">第七条 </w:t>
      </w:r>
      <w:r>
        <w:rPr>
          <w:rFonts w:hint="eastAsia" w:eastAsia="黑体"/>
          <w:bCs/>
          <w:snapToGrid/>
          <w:szCs w:val="32"/>
        </w:rPr>
        <w:t xml:space="preserve"> </w:t>
      </w:r>
      <w:r>
        <w:rPr>
          <w:snapToGrid/>
          <w:szCs w:val="32"/>
        </w:rPr>
        <w:t>省科技资源统筹服务中心（以下简称省统筹中心）是全省科技资源统筹服务专业机构，负责科技资源统筹服务综合管理、组织协调、考核评价等日常工作。主要职责包括：</w:t>
      </w:r>
    </w:p>
    <w:p>
      <w:pPr>
        <w:rPr>
          <w:snapToGrid/>
        </w:rPr>
      </w:pPr>
      <w:r>
        <w:rPr>
          <w:snapToGrid/>
        </w:rPr>
        <w:t>（一）研究起草科技资源统筹服务总体规划、年度计划、管理制度及支持政策，开展科技资源管理技术与方法研究、系统和数据标准规范研究开发，以及共享服务技术、产品研究开发与应用推广等；</w:t>
      </w:r>
    </w:p>
    <w:p>
      <w:pPr>
        <w:widowControl/>
        <w:shd w:val="clear" w:color="auto" w:fill="FFFFFF"/>
        <w:autoSpaceDE/>
        <w:autoSpaceDN/>
        <w:adjustRightInd w:val="0"/>
        <w:spacing w:line="590" w:lineRule="exact"/>
        <w:ind w:firstLine="632" w:firstLineChars="200"/>
        <w:rPr>
          <w:snapToGrid/>
          <w:szCs w:val="32"/>
        </w:rPr>
      </w:pPr>
      <w:r>
        <w:rPr>
          <w:snapToGrid/>
          <w:szCs w:val="32"/>
        </w:rPr>
        <w:t>（二）</w:t>
      </w:r>
      <w:r>
        <w:rPr>
          <w:snapToGrid/>
          <w:spacing w:val="-6"/>
          <w:szCs w:val="32"/>
        </w:rPr>
        <w:t>运营省科技资源统筹服务平台</w:t>
      </w:r>
      <w:r>
        <w:rPr>
          <w:snapToGrid/>
          <w:szCs w:val="32"/>
        </w:rPr>
        <w:t>，建设线上服务云平台和线下服务共同体，推进全省科技资源的集成、展示与共享服务；</w:t>
      </w:r>
    </w:p>
    <w:p>
      <w:pPr>
        <w:widowControl/>
        <w:shd w:val="clear" w:color="auto" w:fill="FFFFFF"/>
        <w:autoSpaceDE/>
        <w:autoSpaceDN/>
        <w:adjustRightInd w:val="0"/>
        <w:spacing w:line="590" w:lineRule="exact"/>
        <w:ind w:firstLine="632" w:firstLineChars="200"/>
        <w:rPr>
          <w:snapToGrid/>
          <w:szCs w:val="32"/>
        </w:rPr>
      </w:pPr>
      <w:r>
        <w:rPr>
          <w:snapToGrid/>
          <w:szCs w:val="32"/>
        </w:rPr>
        <w:t>（三）开展全省科技资源调查、信息发布、数据汇交、开放共享统计监测、在线管理与服务及考核评价，组织相关技术和业务培训；</w:t>
      </w:r>
    </w:p>
    <w:p>
      <w:pPr>
        <w:widowControl/>
        <w:shd w:val="clear" w:color="auto" w:fill="FFFFFF"/>
        <w:autoSpaceDE/>
        <w:autoSpaceDN/>
        <w:adjustRightInd w:val="0"/>
        <w:spacing w:line="590" w:lineRule="exact"/>
        <w:ind w:firstLine="632" w:firstLineChars="200"/>
        <w:rPr>
          <w:snapToGrid/>
          <w:szCs w:val="32"/>
        </w:rPr>
      </w:pPr>
      <w:r>
        <w:rPr>
          <w:snapToGrid/>
          <w:szCs w:val="32"/>
        </w:rPr>
        <w:t>（四）引导企业等创新主体参与科技资源共建共享，促进科技成果转移转化等；</w:t>
      </w:r>
    </w:p>
    <w:p>
      <w:pPr>
        <w:widowControl/>
        <w:shd w:val="clear" w:color="auto" w:fill="FFFFFF"/>
        <w:autoSpaceDE/>
        <w:autoSpaceDN/>
        <w:adjustRightInd w:val="0"/>
        <w:spacing w:line="590" w:lineRule="exact"/>
        <w:ind w:firstLine="632" w:firstLineChars="200"/>
        <w:rPr>
          <w:snapToGrid/>
          <w:szCs w:val="32"/>
        </w:rPr>
      </w:pPr>
      <w:r>
        <w:rPr>
          <w:snapToGrid/>
          <w:szCs w:val="32"/>
        </w:rPr>
        <w:t>（五）落实理事会和理事会办公室交办的其他任务。</w:t>
      </w:r>
    </w:p>
    <w:p>
      <w:pPr>
        <w:widowControl/>
        <w:shd w:val="clear" w:color="auto" w:fill="FFFFFF"/>
        <w:autoSpaceDE/>
        <w:autoSpaceDN/>
        <w:adjustRightInd w:val="0"/>
        <w:spacing w:line="590" w:lineRule="exact"/>
        <w:ind w:firstLine="632" w:firstLineChars="200"/>
        <w:rPr>
          <w:snapToGrid/>
          <w:szCs w:val="32"/>
        </w:rPr>
      </w:pPr>
      <w:r>
        <w:rPr>
          <w:rFonts w:eastAsia="黑体"/>
          <w:bCs/>
          <w:snapToGrid/>
          <w:kern w:val="2"/>
          <w:szCs w:val="32"/>
        </w:rPr>
        <w:t xml:space="preserve">第八条 </w:t>
      </w:r>
      <w:r>
        <w:rPr>
          <w:rFonts w:hint="eastAsia" w:eastAsia="黑体"/>
          <w:bCs/>
          <w:snapToGrid/>
          <w:kern w:val="2"/>
          <w:szCs w:val="32"/>
        </w:rPr>
        <w:t xml:space="preserve"> </w:t>
      </w:r>
      <w:r>
        <w:rPr>
          <w:snapToGrid/>
          <w:szCs w:val="32"/>
        </w:rPr>
        <w:t>科技资源管理单位是科技资源管理和统筹服务的责任主体，主要职责包括：</w:t>
      </w:r>
    </w:p>
    <w:p>
      <w:pPr>
        <w:autoSpaceDE/>
        <w:autoSpaceDN/>
        <w:adjustRightInd w:val="0"/>
        <w:spacing w:line="590" w:lineRule="exact"/>
        <w:ind w:firstLine="632" w:firstLineChars="200"/>
        <w:rPr>
          <w:snapToGrid/>
          <w:szCs w:val="32"/>
        </w:rPr>
      </w:pPr>
      <w:r>
        <w:rPr>
          <w:snapToGrid/>
          <w:szCs w:val="32"/>
        </w:rPr>
        <w:t>（一）落实国家和省</w:t>
      </w:r>
      <w:r>
        <w:rPr>
          <w:snapToGrid/>
          <w:color w:val="000000"/>
          <w:szCs w:val="32"/>
        </w:rPr>
        <w:t>有关政策要求</w:t>
      </w:r>
      <w:r>
        <w:rPr>
          <w:snapToGrid/>
          <w:szCs w:val="32"/>
        </w:rPr>
        <w:t>，制定本单位科技资源</w:t>
      </w:r>
      <w:r>
        <w:rPr>
          <w:snapToGrid/>
          <w:kern w:val="2"/>
          <w:szCs w:val="32"/>
        </w:rPr>
        <w:t>统筹服务</w:t>
      </w:r>
      <w:r>
        <w:rPr>
          <w:snapToGrid/>
          <w:szCs w:val="32"/>
        </w:rPr>
        <w:t>规章制度；</w:t>
      </w:r>
    </w:p>
    <w:p>
      <w:pPr>
        <w:autoSpaceDE/>
        <w:autoSpaceDN/>
        <w:adjustRightInd w:val="0"/>
        <w:spacing w:line="590" w:lineRule="exact"/>
        <w:ind w:firstLine="632" w:firstLineChars="200"/>
        <w:rPr>
          <w:snapToGrid/>
          <w:szCs w:val="32"/>
        </w:rPr>
      </w:pPr>
      <w:r>
        <w:rPr>
          <w:snapToGrid/>
          <w:szCs w:val="32"/>
        </w:rPr>
        <w:t>（二）按照相关标准规范，开展本单位科技资源收集、整理、保存和数据汇交工作；</w:t>
      </w:r>
    </w:p>
    <w:p>
      <w:pPr>
        <w:autoSpaceDE/>
        <w:autoSpaceDN/>
        <w:adjustRightInd w:val="0"/>
        <w:spacing w:line="590" w:lineRule="exact"/>
        <w:ind w:firstLine="632" w:firstLineChars="200"/>
        <w:rPr>
          <w:snapToGrid/>
          <w:szCs w:val="32"/>
        </w:rPr>
      </w:pPr>
      <w:r>
        <w:rPr>
          <w:snapToGrid/>
          <w:szCs w:val="32"/>
        </w:rPr>
        <w:t>（三）</w:t>
      </w:r>
      <w:r>
        <w:rPr>
          <w:snapToGrid/>
          <w:kern w:val="2"/>
          <w:szCs w:val="32"/>
        </w:rPr>
        <w:t>公布本单位科技资源目录，</w:t>
      </w:r>
      <w:r>
        <w:rPr>
          <w:snapToGrid/>
          <w:szCs w:val="32"/>
        </w:rPr>
        <w:t>开展科技资源共享服务；</w:t>
      </w:r>
    </w:p>
    <w:p>
      <w:pPr>
        <w:widowControl/>
        <w:shd w:val="clear" w:color="auto" w:fill="FFFFFF"/>
        <w:autoSpaceDE/>
        <w:autoSpaceDN/>
        <w:adjustRightInd w:val="0"/>
        <w:spacing w:line="590" w:lineRule="exact"/>
        <w:ind w:firstLine="632" w:firstLineChars="200"/>
        <w:rPr>
          <w:snapToGrid/>
          <w:szCs w:val="32"/>
        </w:rPr>
      </w:pPr>
      <w:r>
        <w:rPr>
          <w:snapToGrid/>
          <w:szCs w:val="32"/>
        </w:rPr>
        <w:t>（四）负责科技资源统筹服务所需软硬件设施等条件、资金和人员保障，建立有利于科技资源开放共享的激励和约束机制。</w:t>
      </w:r>
    </w:p>
    <w:p>
      <w:pPr>
        <w:autoSpaceDE/>
        <w:autoSpaceDN/>
        <w:adjustRightInd w:val="0"/>
        <w:spacing w:before="295" w:beforeLines="50" w:after="295" w:afterLines="50" w:line="590" w:lineRule="exact"/>
        <w:ind w:firstLine="0"/>
        <w:jc w:val="center"/>
        <w:outlineLvl w:val="0"/>
        <w:rPr>
          <w:rFonts w:eastAsia="黑体"/>
          <w:bCs/>
          <w:snapToGrid/>
          <w:szCs w:val="32"/>
        </w:rPr>
      </w:pPr>
      <w:r>
        <w:rPr>
          <w:rFonts w:eastAsia="黑体"/>
          <w:bCs/>
          <w:snapToGrid/>
          <w:szCs w:val="32"/>
        </w:rPr>
        <w:t xml:space="preserve">第三章 </w:t>
      </w:r>
      <w:r>
        <w:rPr>
          <w:rFonts w:hint="eastAsia" w:eastAsia="黑体"/>
          <w:bCs/>
          <w:snapToGrid/>
          <w:szCs w:val="32"/>
        </w:rPr>
        <w:t xml:space="preserve"> </w:t>
      </w:r>
      <w:r>
        <w:rPr>
          <w:rFonts w:eastAsia="黑体"/>
          <w:bCs/>
          <w:snapToGrid/>
          <w:szCs w:val="32"/>
        </w:rPr>
        <w:t>统筹管理</w:t>
      </w:r>
    </w:p>
    <w:p>
      <w:pPr>
        <w:autoSpaceDE/>
        <w:autoSpaceDN/>
        <w:adjustRightInd w:val="0"/>
        <w:spacing w:line="590" w:lineRule="exact"/>
        <w:ind w:firstLine="632" w:firstLineChars="200"/>
        <w:rPr>
          <w:snapToGrid/>
          <w:szCs w:val="32"/>
        </w:rPr>
      </w:pPr>
      <w:r>
        <w:rPr>
          <w:rFonts w:eastAsia="黑体"/>
          <w:bCs/>
          <w:snapToGrid/>
          <w:kern w:val="2"/>
          <w:szCs w:val="32"/>
        </w:rPr>
        <w:t>第九条</w:t>
      </w:r>
      <w:r>
        <w:rPr>
          <w:snapToGrid/>
          <w:kern w:val="2"/>
          <w:szCs w:val="32"/>
        </w:rPr>
        <w:t xml:space="preserve"> </w:t>
      </w:r>
      <w:r>
        <w:rPr>
          <w:rFonts w:hint="eastAsia"/>
          <w:snapToGrid/>
          <w:kern w:val="2"/>
          <w:szCs w:val="32"/>
        </w:rPr>
        <w:t xml:space="preserve"> </w:t>
      </w:r>
      <w:r>
        <w:rPr>
          <w:snapToGrid/>
          <w:kern w:val="2"/>
          <w:szCs w:val="32"/>
        </w:rPr>
        <w:t>全省各类公共科技资源应遵循</w:t>
      </w:r>
      <w:r>
        <w:rPr>
          <w:snapToGrid/>
          <w:szCs w:val="32"/>
        </w:rPr>
        <w:t>应统尽统、分类汇交原则，统一纳入省统筹平台开放共享。涉及国家安全、保密以及法律法规另有规定的除外。</w:t>
      </w:r>
    </w:p>
    <w:p>
      <w:pPr>
        <w:autoSpaceDE/>
        <w:autoSpaceDN/>
        <w:adjustRightInd w:val="0"/>
        <w:spacing w:line="590" w:lineRule="exact"/>
        <w:ind w:firstLine="632" w:firstLineChars="200"/>
        <w:rPr>
          <w:snapToGrid/>
          <w:szCs w:val="32"/>
        </w:rPr>
      </w:pPr>
      <w:r>
        <w:rPr>
          <w:snapToGrid/>
          <w:szCs w:val="32"/>
        </w:rPr>
        <w:t>鼓励企业、社会资金投入形成的科技资源加入省统筹平台共享。</w:t>
      </w:r>
    </w:p>
    <w:p>
      <w:pPr>
        <w:autoSpaceDE/>
        <w:autoSpaceDN/>
        <w:adjustRightInd w:val="0"/>
        <w:spacing w:line="590" w:lineRule="exact"/>
        <w:ind w:firstLine="632" w:firstLineChars="200"/>
        <w:rPr>
          <w:snapToGrid/>
          <w:szCs w:val="32"/>
        </w:rPr>
      </w:pPr>
      <w:r>
        <w:rPr>
          <w:rFonts w:eastAsia="黑体"/>
          <w:bCs/>
          <w:snapToGrid/>
          <w:kern w:val="2"/>
          <w:szCs w:val="32"/>
        </w:rPr>
        <w:t>第十条</w:t>
      </w:r>
      <w:r>
        <w:rPr>
          <w:snapToGrid/>
          <w:szCs w:val="32"/>
        </w:rPr>
        <w:t xml:space="preserve"> </w:t>
      </w:r>
      <w:r>
        <w:rPr>
          <w:rFonts w:hint="eastAsia"/>
          <w:snapToGrid/>
          <w:szCs w:val="32"/>
        </w:rPr>
        <w:t xml:space="preserve"> </w:t>
      </w:r>
      <w:r>
        <w:rPr>
          <w:snapToGrid/>
          <w:szCs w:val="32"/>
        </w:rPr>
        <w:t>省统筹平台与省政务服务平台及其他专业平台等紧密对接，定期发布公共科技资源目录、数据、分析报告和管理服务标准规范。</w:t>
      </w:r>
    </w:p>
    <w:p>
      <w:pPr>
        <w:overflowPunct w:val="0"/>
        <w:autoSpaceDE/>
        <w:autoSpaceDN/>
        <w:adjustRightInd w:val="0"/>
        <w:spacing w:line="590" w:lineRule="exact"/>
        <w:ind w:firstLine="632" w:firstLineChars="200"/>
        <w:rPr>
          <w:snapToGrid/>
          <w:szCs w:val="32"/>
        </w:rPr>
      </w:pPr>
      <w:r>
        <w:rPr>
          <w:snapToGrid/>
          <w:szCs w:val="32"/>
        </w:rPr>
        <w:t>管理单位应规范开展科技实物和信息资源的收集、整理、维护，形成实物库、信息库；建立科技资源保存制度，按照集中集约原则，配备实物和信息存储、管理等必要设施；完善科技资源质量控制体系，保证科技资源的完整性、准确性和安全性。</w:t>
      </w:r>
    </w:p>
    <w:p>
      <w:pPr>
        <w:autoSpaceDE/>
        <w:autoSpaceDN/>
        <w:adjustRightInd w:val="0"/>
        <w:snapToGrid/>
        <w:spacing w:line="590" w:lineRule="exact"/>
        <w:ind w:firstLine="640"/>
        <w:rPr>
          <w:snapToGrid/>
          <w:spacing w:val="-4"/>
          <w:szCs w:val="32"/>
        </w:rPr>
      </w:pPr>
      <w:r>
        <w:rPr>
          <w:rFonts w:eastAsia="黑体"/>
          <w:bCs/>
          <w:snapToGrid/>
          <w:kern w:val="2"/>
          <w:szCs w:val="32"/>
        </w:rPr>
        <w:t>第十一条</w:t>
      </w:r>
      <w:r>
        <w:rPr>
          <w:snapToGrid/>
          <w:szCs w:val="32"/>
        </w:rPr>
        <w:t xml:space="preserve"> </w:t>
      </w:r>
      <w:r>
        <w:rPr>
          <w:rFonts w:hint="eastAsia"/>
          <w:snapToGrid/>
          <w:szCs w:val="32"/>
        </w:rPr>
        <w:t xml:space="preserve"> </w:t>
      </w:r>
      <w:r>
        <w:rPr>
          <w:snapToGrid/>
          <w:spacing w:val="-4"/>
          <w:szCs w:val="32"/>
        </w:rPr>
        <w:t>根据不同类型的科技资源特点实施分类汇交制度。利用财政性资金或者国有资本形成的，及利用财政性资金资助的科技计划项目形成的科研设施与仪器、科学数据、科技报告等科技资源，管理单位应在结题验收前将相关资源信息汇交至指定的省级科技资源共享服务平台，接收科技资源信息的省级科技资源共享服务平台可出具汇交凭证。</w:t>
      </w:r>
    </w:p>
    <w:p>
      <w:pPr>
        <w:widowControl/>
        <w:shd w:val="clear" w:color="auto" w:fill="FFFFFF"/>
        <w:autoSpaceDE/>
        <w:autoSpaceDN/>
        <w:adjustRightInd w:val="0"/>
        <w:spacing w:line="590" w:lineRule="exact"/>
        <w:ind w:firstLine="632" w:firstLineChars="200"/>
        <w:rPr>
          <w:snapToGrid/>
          <w:szCs w:val="32"/>
        </w:rPr>
      </w:pPr>
      <w:r>
        <w:rPr>
          <w:rFonts w:eastAsia="黑体"/>
          <w:snapToGrid/>
          <w:kern w:val="2"/>
          <w:szCs w:val="32"/>
        </w:rPr>
        <w:t>第十二条</w:t>
      </w:r>
      <w:r>
        <w:rPr>
          <w:snapToGrid/>
          <w:szCs w:val="32"/>
        </w:rPr>
        <w:t xml:space="preserve"> </w:t>
      </w:r>
      <w:r>
        <w:rPr>
          <w:rFonts w:hint="eastAsia"/>
          <w:snapToGrid/>
          <w:szCs w:val="32"/>
        </w:rPr>
        <w:t xml:space="preserve"> </w:t>
      </w:r>
      <w:r>
        <w:rPr>
          <w:snapToGrid/>
          <w:szCs w:val="32"/>
        </w:rPr>
        <w:t>管理单位利用省级财政资金新购、新建大型科学仪器设备等科技资源，实行联合评议制度。省财政部门会同省有关部门组织开展评议，定期发布新购科技资源预警目录。单</w:t>
      </w:r>
      <w:r>
        <w:rPr>
          <w:snapToGrid/>
          <w:kern w:val="2"/>
          <w:szCs w:val="32"/>
        </w:rPr>
        <w:t>价</w:t>
      </w:r>
      <w:r>
        <w:rPr>
          <w:snapToGrid/>
          <w:szCs w:val="32"/>
        </w:rPr>
        <w:t>50万元以上不满200万元的，由管理单位自行或委托第三方机构具体实施评议；单价200万元以上的，委托省统筹中心或第三方机构具体实施评议。评议的主要内容包括必要性、合理性、科技资源统筹服务绩效等。评议意见作为批准新购、新建科技资源的重要依据。未经评议的，原则上不安排购置资金，不纳入政府采购。</w:t>
      </w:r>
    </w:p>
    <w:p>
      <w:pPr>
        <w:widowControl/>
        <w:shd w:val="clear" w:color="auto" w:fill="FFFFFF"/>
        <w:autoSpaceDE/>
        <w:autoSpaceDN/>
        <w:adjustRightInd w:val="0"/>
        <w:spacing w:line="590" w:lineRule="exact"/>
        <w:ind w:firstLine="632" w:firstLineChars="200"/>
        <w:rPr>
          <w:snapToGrid/>
          <w:szCs w:val="32"/>
        </w:rPr>
      </w:pPr>
      <w:r>
        <w:rPr>
          <w:rFonts w:eastAsia="黑体"/>
          <w:snapToGrid/>
          <w:kern w:val="2"/>
          <w:szCs w:val="32"/>
        </w:rPr>
        <w:t>第十三条</w:t>
      </w:r>
      <w:r>
        <w:rPr>
          <w:snapToGrid/>
          <w:szCs w:val="32"/>
        </w:rPr>
        <w:t xml:space="preserve"> </w:t>
      </w:r>
      <w:r>
        <w:rPr>
          <w:rFonts w:hint="eastAsia"/>
          <w:snapToGrid/>
          <w:szCs w:val="32"/>
        </w:rPr>
        <w:t xml:space="preserve"> </w:t>
      </w:r>
      <w:r>
        <w:rPr>
          <w:snapToGrid/>
          <w:szCs w:val="32"/>
        </w:rPr>
        <w:t>管理单位应配合国家和省有关部门开展科技资源统计调查，按照规定及时报送至省统筹平台，提供的科技资源信息应具备实时性和准确性。</w:t>
      </w:r>
    </w:p>
    <w:p>
      <w:pPr>
        <w:autoSpaceDE/>
        <w:autoSpaceDN/>
        <w:adjustRightInd w:val="0"/>
        <w:spacing w:before="295" w:beforeLines="50" w:after="295" w:afterLines="50" w:line="590" w:lineRule="exact"/>
        <w:ind w:firstLine="0"/>
        <w:jc w:val="center"/>
        <w:outlineLvl w:val="0"/>
        <w:rPr>
          <w:rFonts w:eastAsia="黑体"/>
          <w:bCs/>
          <w:snapToGrid/>
          <w:szCs w:val="32"/>
        </w:rPr>
      </w:pPr>
      <w:r>
        <w:rPr>
          <w:rFonts w:eastAsia="黑体"/>
          <w:bCs/>
          <w:snapToGrid/>
          <w:szCs w:val="32"/>
        </w:rPr>
        <w:t xml:space="preserve">第四章 </w:t>
      </w:r>
      <w:r>
        <w:rPr>
          <w:rFonts w:hint="eastAsia" w:eastAsia="黑体"/>
          <w:bCs/>
          <w:snapToGrid/>
          <w:szCs w:val="32"/>
        </w:rPr>
        <w:t xml:space="preserve"> </w:t>
      </w:r>
      <w:r>
        <w:rPr>
          <w:rFonts w:eastAsia="黑体"/>
          <w:bCs/>
          <w:snapToGrid/>
          <w:szCs w:val="32"/>
        </w:rPr>
        <w:t>开放服务</w:t>
      </w:r>
    </w:p>
    <w:p>
      <w:pPr>
        <w:widowControl/>
        <w:shd w:val="clear" w:color="auto" w:fill="FFFFFF"/>
        <w:autoSpaceDE/>
        <w:autoSpaceDN/>
        <w:adjustRightInd w:val="0"/>
        <w:spacing w:line="590" w:lineRule="exact"/>
        <w:ind w:firstLine="620" w:firstLineChars="196"/>
        <w:rPr>
          <w:snapToGrid/>
          <w:szCs w:val="32"/>
        </w:rPr>
      </w:pPr>
      <w:r>
        <w:rPr>
          <w:rFonts w:eastAsia="黑体"/>
          <w:bCs/>
          <w:snapToGrid/>
          <w:szCs w:val="32"/>
        </w:rPr>
        <w:t>第十四条</w:t>
      </w:r>
      <w:r>
        <w:rPr>
          <w:snapToGrid/>
          <w:szCs w:val="32"/>
        </w:rPr>
        <w:t xml:space="preserve"> </w:t>
      </w:r>
      <w:r>
        <w:rPr>
          <w:rFonts w:hint="eastAsia"/>
          <w:snapToGrid/>
          <w:szCs w:val="32"/>
        </w:rPr>
        <w:t xml:space="preserve"> </w:t>
      </w:r>
      <w:r>
        <w:rPr>
          <w:bCs/>
          <w:snapToGrid/>
          <w:szCs w:val="32"/>
        </w:rPr>
        <w:t>全省各类</w:t>
      </w:r>
      <w:r>
        <w:rPr>
          <w:snapToGrid/>
          <w:szCs w:val="32"/>
        </w:rPr>
        <w:t>公共科技资源在分类汇交后，应</w:t>
      </w:r>
      <w:r>
        <w:rPr>
          <w:snapToGrid/>
          <w:color w:val="000000"/>
          <w:szCs w:val="32"/>
        </w:rPr>
        <w:t>遵循应享尽享、优质高效原则，</w:t>
      </w:r>
      <w:r>
        <w:rPr>
          <w:snapToGrid/>
          <w:szCs w:val="32"/>
        </w:rPr>
        <w:t>及时面向高等学校、科研院所、企业、社会研发组织和个人开放共享，为创新创业、企业发展提供基础支撑。</w:t>
      </w:r>
    </w:p>
    <w:p>
      <w:pPr>
        <w:autoSpaceDE/>
        <w:autoSpaceDN/>
        <w:adjustRightInd w:val="0"/>
        <w:spacing w:line="590" w:lineRule="exact"/>
        <w:ind w:firstLine="632" w:firstLineChars="200"/>
        <w:rPr>
          <w:snapToGrid/>
          <w:kern w:val="2"/>
          <w:szCs w:val="32"/>
        </w:rPr>
      </w:pPr>
      <w:r>
        <w:rPr>
          <w:rFonts w:eastAsia="黑体"/>
          <w:snapToGrid/>
          <w:kern w:val="2"/>
          <w:szCs w:val="32"/>
        </w:rPr>
        <w:t>第十五条</w:t>
      </w:r>
      <w:r>
        <w:rPr>
          <w:snapToGrid/>
          <w:szCs w:val="32"/>
        </w:rPr>
        <w:t xml:space="preserve"> </w:t>
      </w:r>
      <w:r>
        <w:rPr>
          <w:rFonts w:hint="eastAsia"/>
          <w:snapToGrid/>
          <w:szCs w:val="32"/>
        </w:rPr>
        <w:t xml:space="preserve"> </w:t>
      </w:r>
      <w:r>
        <w:rPr>
          <w:snapToGrid/>
          <w:szCs w:val="32"/>
        </w:rPr>
        <w:t>管理单位应建立开放共享制度，通过本单位门户网站和省统筹平台，及时向社会公开各类科技资源目录、开放共享管理规范、服务方式、服务内容、收费标准、开放限制等信息</w:t>
      </w:r>
      <w:r>
        <w:rPr>
          <w:snapToGrid/>
          <w:kern w:val="2"/>
          <w:szCs w:val="32"/>
        </w:rPr>
        <w:t>。</w:t>
      </w:r>
    </w:p>
    <w:p>
      <w:pPr>
        <w:autoSpaceDE/>
        <w:autoSpaceDN/>
        <w:adjustRightInd w:val="0"/>
        <w:spacing w:line="590" w:lineRule="exact"/>
        <w:ind w:firstLine="632" w:firstLineChars="200"/>
        <w:rPr>
          <w:snapToGrid/>
          <w:szCs w:val="32"/>
        </w:rPr>
      </w:pPr>
      <w:r>
        <w:rPr>
          <w:rFonts w:eastAsia="黑体"/>
          <w:snapToGrid/>
          <w:kern w:val="2"/>
          <w:szCs w:val="32"/>
        </w:rPr>
        <w:t>第十六条</w:t>
      </w:r>
      <w:r>
        <w:rPr>
          <w:snapToGrid/>
          <w:szCs w:val="32"/>
        </w:rPr>
        <w:t xml:space="preserve"> </w:t>
      </w:r>
      <w:r>
        <w:rPr>
          <w:rFonts w:hint="eastAsia"/>
          <w:snapToGrid/>
          <w:szCs w:val="32"/>
        </w:rPr>
        <w:t xml:space="preserve"> </w:t>
      </w:r>
      <w:r>
        <w:rPr>
          <w:snapToGrid/>
          <w:szCs w:val="32"/>
        </w:rPr>
        <w:t>管理单位在满足本单位科研教学需要基础上，应依托省统筹平台提供线上线下相融合的科技资源开放服务。</w:t>
      </w:r>
      <w:r>
        <w:rPr>
          <w:snapToGrid/>
          <w:kern w:val="2"/>
          <w:szCs w:val="32"/>
        </w:rPr>
        <w:t>有条件的</w:t>
      </w:r>
      <w:r>
        <w:rPr>
          <w:snapToGrid/>
          <w:szCs w:val="32"/>
        </w:rPr>
        <w:t>管理单位可以按照统一的标准规范，自行建设科技资源在线服务平台，并与省统筹平台互联互通。</w:t>
      </w:r>
    </w:p>
    <w:p>
      <w:pPr>
        <w:autoSpaceDE/>
        <w:autoSpaceDN/>
        <w:adjustRightInd w:val="0"/>
        <w:spacing w:line="590" w:lineRule="exact"/>
        <w:ind w:firstLine="632" w:firstLineChars="200"/>
        <w:rPr>
          <w:snapToGrid/>
          <w:szCs w:val="32"/>
        </w:rPr>
      </w:pPr>
      <w:r>
        <w:rPr>
          <w:rFonts w:eastAsia="黑体"/>
          <w:snapToGrid/>
          <w:kern w:val="2"/>
          <w:szCs w:val="32"/>
        </w:rPr>
        <w:t>第十七条</w:t>
      </w:r>
      <w:r>
        <w:rPr>
          <w:snapToGrid/>
          <w:szCs w:val="32"/>
        </w:rPr>
        <w:t xml:space="preserve"> </w:t>
      </w:r>
      <w:r>
        <w:rPr>
          <w:rFonts w:hint="eastAsia"/>
          <w:snapToGrid/>
          <w:szCs w:val="32"/>
        </w:rPr>
        <w:t xml:space="preserve"> </w:t>
      </w:r>
      <w:r>
        <w:rPr>
          <w:snapToGrid/>
          <w:szCs w:val="32"/>
        </w:rPr>
        <w:t>省统筹中心根据科技资源开放服务需要，在有条件的设区市、县（市、区）、高新区等设立区域站点，作为省统筹平台基层服务窗口，促进地方科技创新需求与全省科技资源开放服务的有效对接。鼓励技术经理人、科技镇长团成员、企业科技副总等科技资源服务人才依托省统筹平台开展资源对接。</w:t>
      </w:r>
    </w:p>
    <w:p>
      <w:pPr>
        <w:widowControl/>
        <w:shd w:val="clear" w:color="auto" w:fill="FFFFFF"/>
        <w:autoSpaceDE/>
        <w:autoSpaceDN/>
        <w:adjustRightInd w:val="0"/>
        <w:spacing w:line="590" w:lineRule="exact"/>
        <w:ind w:firstLine="632" w:firstLineChars="200"/>
        <w:rPr>
          <w:snapToGrid/>
          <w:szCs w:val="32"/>
        </w:rPr>
      </w:pPr>
      <w:r>
        <w:rPr>
          <w:rFonts w:eastAsia="黑体"/>
          <w:snapToGrid/>
          <w:kern w:val="2"/>
          <w:szCs w:val="32"/>
        </w:rPr>
        <w:t>第十八条</w:t>
      </w:r>
      <w:r>
        <w:rPr>
          <w:snapToGrid/>
          <w:szCs w:val="32"/>
        </w:rPr>
        <w:t xml:space="preserve"> </w:t>
      </w:r>
      <w:r>
        <w:rPr>
          <w:rFonts w:hint="eastAsia"/>
          <w:snapToGrid/>
          <w:szCs w:val="32"/>
        </w:rPr>
        <w:t xml:space="preserve"> </w:t>
      </w:r>
      <w:r>
        <w:rPr>
          <w:snapToGrid/>
          <w:szCs w:val="32"/>
        </w:rPr>
        <w:t>管理单位提供科技资源开放共享服务，应与用户签订合同，约定服务内容、服务方式、知识产权归属、利益分配、损害赔偿责任以及争议处理等内容。符合条件的，按照国家规定进行技术合同认定登记。</w:t>
      </w:r>
    </w:p>
    <w:p>
      <w:pPr>
        <w:adjustRightInd w:val="0"/>
        <w:spacing w:line="590" w:lineRule="exact"/>
        <w:ind w:firstLine="632" w:firstLineChars="200"/>
        <w:rPr>
          <w:snapToGrid/>
          <w:szCs w:val="32"/>
        </w:rPr>
      </w:pPr>
      <w:r>
        <w:rPr>
          <w:rFonts w:eastAsia="黑体"/>
          <w:snapToGrid/>
          <w:kern w:val="2"/>
          <w:szCs w:val="32"/>
        </w:rPr>
        <w:t>第十九条</w:t>
      </w:r>
      <w:r>
        <w:rPr>
          <w:snapToGrid/>
          <w:kern w:val="2"/>
          <w:szCs w:val="32"/>
        </w:rPr>
        <w:t xml:space="preserve"> </w:t>
      </w:r>
      <w:r>
        <w:rPr>
          <w:rFonts w:hint="eastAsia"/>
          <w:snapToGrid/>
          <w:kern w:val="2"/>
          <w:szCs w:val="32"/>
        </w:rPr>
        <w:t xml:space="preserve"> </w:t>
      </w:r>
      <w:r>
        <w:rPr>
          <w:snapToGrid/>
          <w:kern w:val="2"/>
          <w:szCs w:val="32"/>
        </w:rPr>
        <w:t>鼓励管理单位根据科技创新和产业发展需求，对科技资源进行深度挖掘和二次开发利用，</w:t>
      </w:r>
      <w:r>
        <w:rPr>
          <w:snapToGrid/>
          <w:szCs w:val="32"/>
        </w:rPr>
        <w:t>形成高质量高价值的科技资源服务产品，开展增值服务。鼓励管理单位申请取得相关领域服务资质。</w:t>
      </w:r>
    </w:p>
    <w:p>
      <w:pPr>
        <w:adjustRightInd w:val="0"/>
        <w:spacing w:line="590" w:lineRule="exact"/>
        <w:ind w:firstLine="632" w:firstLineChars="200"/>
        <w:rPr>
          <w:snapToGrid/>
          <w:szCs w:val="32"/>
        </w:rPr>
      </w:pPr>
      <w:r>
        <w:rPr>
          <w:snapToGrid/>
          <w:szCs w:val="32"/>
        </w:rPr>
        <w:t>鼓励社会组织、企业等具有专业化服务能力的机构（简称专业机构）加盟省统筹平台，开展科技资源共建共享和增值服务。</w:t>
      </w:r>
    </w:p>
    <w:p>
      <w:pPr>
        <w:widowControl/>
        <w:shd w:val="clear" w:color="auto" w:fill="FFFFFF"/>
        <w:autoSpaceDE/>
        <w:autoSpaceDN/>
        <w:adjustRightInd w:val="0"/>
        <w:spacing w:line="590" w:lineRule="exact"/>
        <w:ind w:firstLine="632" w:firstLineChars="200"/>
        <w:rPr>
          <w:snapToGrid/>
          <w:szCs w:val="32"/>
        </w:rPr>
      </w:pPr>
      <w:r>
        <w:rPr>
          <w:rFonts w:eastAsia="黑体"/>
          <w:bCs/>
          <w:snapToGrid/>
          <w:szCs w:val="32"/>
        </w:rPr>
        <w:t>第二十条</w:t>
      </w:r>
      <w:r>
        <w:rPr>
          <w:snapToGrid/>
          <w:kern w:val="2"/>
          <w:szCs w:val="32"/>
        </w:rPr>
        <w:t xml:space="preserve"> </w:t>
      </w:r>
      <w:r>
        <w:rPr>
          <w:rFonts w:hint="eastAsia"/>
          <w:snapToGrid/>
          <w:kern w:val="2"/>
          <w:szCs w:val="32"/>
        </w:rPr>
        <w:t xml:space="preserve"> </w:t>
      </w:r>
      <w:r>
        <w:rPr>
          <w:snapToGrid/>
          <w:kern w:val="2"/>
          <w:szCs w:val="32"/>
        </w:rPr>
        <w:t>科技资源开放共享</w:t>
      </w:r>
      <w:r>
        <w:rPr>
          <w:snapToGrid/>
          <w:szCs w:val="32"/>
        </w:rPr>
        <w:t>应遵守知识产权保护有关规定。管理单位和用户双方应事先约定知识产权归属或比例，依法依约妥善保管双方的身份信息、知识产权和科学数据等。用户在专利申请、专著出版、论文发表等过程中应按照约定予以标注。</w:t>
      </w:r>
    </w:p>
    <w:p>
      <w:pPr>
        <w:adjustRightInd w:val="0"/>
        <w:spacing w:line="590" w:lineRule="exact"/>
        <w:ind w:firstLine="632" w:firstLineChars="200"/>
        <w:rPr>
          <w:b/>
          <w:snapToGrid/>
          <w:color w:val="FF0000"/>
          <w:kern w:val="2"/>
          <w:szCs w:val="32"/>
          <w:u w:val="single"/>
        </w:rPr>
      </w:pPr>
      <w:r>
        <w:rPr>
          <w:rFonts w:eastAsia="黑体"/>
          <w:snapToGrid/>
          <w:szCs w:val="32"/>
        </w:rPr>
        <w:t>第二十一条</w:t>
      </w:r>
      <w:r>
        <w:rPr>
          <w:snapToGrid/>
          <w:szCs w:val="32"/>
        </w:rPr>
        <w:t xml:space="preserve"> </w:t>
      </w:r>
      <w:r>
        <w:rPr>
          <w:rFonts w:hint="eastAsia"/>
          <w:snapToGrid/>
          <w:szCs w:val="32"/>
        </w:rPr>
        <w:t xml:space="preserve"> </w:t>
      </w:r>
      <w:r>
        <w:rPr>
          <w:snapToGrid/>
          <w:szCs w:val="32"/>
        </w:rPr>
        <w:t>管理单位对外提供科技资源开放共享服务，可</w:t>
      </w:r>
      <w:r>
        <w:rPr>
          <w:snapToGrid/>
          <w:kern w:val="2"/>
          <w:szCs w:val="32"/>
        </w:rPr>
        <w:t>按照成本补偿和非盈利原则收取费用，服务收入纳入单位预算，其中：部门预算单位应作为非税收入管理，统筹用于科研设施与仪器等科技资源的更新维护、运行补助等。事业单位性质的资源管理单位提供开放共享获取的服务收入可作为实施绩效工资的经费来源。单位申报绩效工资总量时，可根据服务收入和服务质量予以增核，单位内部绩效工资分配时应向从事资源服务的人员倾斜。管理单位应</w:t>
      </w:r>
      <w:r>
        <w:rPr>
          <w:snapToGrid/>
          <w:szCs w:val="32"/>
        </w:rPr>
        <w:t>建立公开、透明的成本核算和服务收费标准，</w:t>
      </w:r>
      <w:r>
        <w:rPr>
          <w:snapToGrid/>
          <w:kern w:val="2"/>
          <w:szCs w:val="32"/>
        </w:rPr>
        <w:t>行政主管部门应加强管理和监督。</w:t>
      </w:r>
    </w:p>
    <w:p>
      <w:pPr>
        <w:adjustRightInd w:val="0"/>
        <w:spacing w:line="590" w:lineRule="exact"/>
        <w:ind w:firstLine="632" w:firstLineChars="200"/>
        <w:rPr>
          <w:snapToGrid/>
          <w:kern w:val="2"/>
          <w:szCs w:val="32"/>
        </w:rPr>
      </w:pPr>
      <w:r>
        <w:rPr>
          <w:rFonts w:eastAsia="黑体"/>
          <w:snapToGrid/>
          <w:kern w:val="2"/>
          <w:szCs w:val="32"/>
        </w:rPr>
        <w:t>第二十二条</w:t>
      </w:r>
      <w:r>
        <w:rPr>
          <w:snapToGrid/>
          <w:kern w:val="2"/>
          <w:szCs w:val="32"/>
        </w:rPr>
        <w:t xml:space="preserve"> </w:t>
      </w:r>
      <w:r>
        <w:rPr>
          <w:rFonts w:hint="eastAsia"/>
          <w:snapToGrid/>
          <w:kern w:val="2"/>
          <w:szCs w:val="32"/>
        </w:rPr>
        <w:t xml:space="preserve"> </w:t>
      </w:r>
      <w:r>
        <w:rPr>
          <w:snapToGrid/>
          <w:kern w:val="2"/>
          <w:szCs w:val="32"/>
        </w:rPr>
        <w:t>省科技部门会同省财政部门联合有条件的设区市、县（市）、省级以上高新区设立科技创新券。对购买科技资源服务的科技型中小企业给予一定比例的科技创新券补助，鼓励中小企业购买科技资源服务开展新技术、新产品、新工艺等研发创新活动，激励管理单位、专业机构面向中小企业开放科技资源。</w:t>
      </w:r>
    </w:p>
    <w:p>
      <w:pPr>
        <w:adjustRightInd w:val="0"/>
        <w:spacing w:line="590" w:lineRule="exact"/>
        <w:ind w:firstLine="632" w:firstLineChars="200"/>
        <w:rPr>
          <w:snapToGrid/>
          <w:kern w:val="2"/>
          <w:szCs w:val="32"/>
        </w:rPr>
      </w:pPr>
      <w:r>
        <w:rPr>
          <w:rFonts w:eastAsia="黑体"/>
          <w:snapToGrid/>
          <w:kern w:val="2"/>
          <w:szCs w:val="32"/>
        </w:rPr>
        <w:t>第二十</w:t>
      </w:r>
      <w:r>
        <w:rPr>
          <w:rFonts w:eastAsia="方正黑体_GBK"/>
          <w:snapToGrid/>
          <w:kern w:val="2"/>
          <w:szCs w:val="32"/>
        </w:rPr>
        <w:t>三</w:t>
      </w:r>
      <w:r>
        <w:rPr>
          <w:rFonts w:eastAsia="黑体"/>
          <w:snapToGrid/>
          <w:kern w:val="2"/>
          <w:szCs w:val="32"/>
        </w:rPr>
        <w:t>条</w:t>
      </w:r>
      <w:r>
        <w:rPr>
          <w:snapToGrid/>
          <w:kern w:val="2"/>
          <w:szCs w:val="32"/>
        </w:rPr>
        <w:t xml:space="preserve"> </w:t>
      </w:r>
      <w:r>
        <w:rPr>
          <w:rFonts w:hint="eastAsia"/>
          <w:snapToGrid/>
          <w:kern w:val="2"/>
          <w:szCs w:val="32"/>
        </w:rPr>
        <w:t xml:space="preserve"> </w:t>
      </w:r>
      <w:r>
        <w:rPr>
          <w:snapToGrid/>
          <w:kern w:val="2"/>
          <w:szCs w:val="32"/>
        </w:rPr>
        <w:t>鼓励管理单位探索创新</w:t>
      </w:r>
      <w:r>
        <w:rPr>
          <w:snapToGrid/>
          <w:color w:val="000000"/>
          <w:kern w:val="2"/>
          <w:szCs w:val="32"/>
        </w:rPr>
        <w:t>科技资源集约管理与开放共享机制，在不改变所有权前提下，授权专业服务机构</w:t>
      </w:r>
      <w:r>
        <w:rPr>
          <w:snapToGrid/>
          <w:kern w:val="2"/>
          <w:szCs w:val="32"/>
        </w:rPr>
        <w:t>对科学仪器设备等科技资源开展集约化管理、市场化运营，提升科技资源统筹管理和开放服务水平。</w:t>
      </w:r>
    </w:p>
    <w:p>
      <w:pPr>
        <w:autoSpaceDE/>
        <w:autoSpaceDN/>
        <w:adjustRightInd w:val="0"/>
        <w:spacing w:before="295" w:beforeLines="50" w:after="295" w:afterLines="50" w:line="590" w:lineRule="exact"/>
        <w:ind w:firstLine="0"/>
        <w:jc w:val="center"/>
        <w:outlineLvl w:val="0"/>
        <w:rPr>
          <w:rFonts w:eastAsia="黑体"/>
          <w:bCs/>
          <w:snapToGrid/>
          <w:szCs w:val="32"/>
        </w:rPr>
      </w:pPr>
      <w:r>
        <w:rPr>
          <w:rFonts w:eastAsia="黑体"/>
          <w:bCs/>
          <w:snapToGrid/>
          <w:szCs w:val="32"/>
        </w:rPr>
        <w:t xml:space="preserve">第五章 </w:t>
      </w:r>
      <w:r>
        <w:rPr>
          <w:rFonts w:hint="eastAsia" w:eastAsia="黑体"/>
          <w:bCs/>
          <w:snapToGrid/>
          <w:szCs w:val="32"/>
        </w:rPr>
        <w:t xml:space="preserve"> </w:t>
      </w:r>
      <w:r>
        <w:rPr>
          <w:rFonts w:eastAsia="黑体"/>
          <w:bCs/>
          <w:snapToGrid/>
          <w:szCs w:val="32"/>
        </w:rPr>
        <w:t>考核奖惩</w:t>
      </w:r>
    </w:p>
    <w:p>
      <w:pPr>
        <w:widowControl/>
        <w:shd w:val="clear" w:color="auto" w:fill="FFFFFF"/>
        <w:autoSpaceDE/>
        <w:autoSpaceDN/>
        <w:adjustRightInd w:val="0"/>
        <w:spacing w:line="590" w:lineRule="exact"/>
        <w:ind w:firstLine="632" w:firstLineChars="200"/>
        <w:rPr>
          <w:snapToGrid/>
          <w:szCs w:val="32"/>
        </w:rPr>
      </w:pPr>
      <w:r>
        <w:rPr>
          <w:rFonts w:eastAsia="方正黑体_GBK"/>
          <w:snapToGrid/>
          <w:szCs w:val="32"/>
        </w:rPr>
        <w:t xml:space="preserve">第二十四条 </w:t>
      </w:r>
      <w:r>
        <w:rPr>
          <w:rFonts w:hint="eastAsia" w:eastAsia="方正黑体_GBK"/>
          <w:snapToGrid/>
          <w:szCs w:val="32"/>
        </w:rPr>
        <w:t xml:space="preserve"> </w:t>
      </w:r>
      <w:r>
        <w:rPr>
          <w:snapToGrid/>
          <w:szCs w:val="32"/>
        </w:rPr>
        <w:t>理事会定期对全省科技资源统筹服务工作进行考核评价，主要评价内容包括科技资源统筹集成、支撑科技创新和中小企业创新创业以及省统筹平台建设运行成效等。考核评价结果作为确定科技资源规划布局、省统筹平台发展以及相关经费投入的重要依据。考核评价可委托第三方机构组织开展。</w:t>
      </w:r>
    </w:p>
    <w:p>
      <w:pPr>
        <w:widowControl/>
        <w:shd w:val="clear" w:color="auto" w:fill="FFFFFF"/>
        <w:autoSpaceDE/>
        <w:autoSpaceDN/>
        <w:adjustRightInd w:val="0"/>
        <w:spacing w:line="590" w:lineRule="exact"/>
        <w:ind w:firstLine="632" w:firstLineChars="200"/>
        <w:rPr>
          <w:rFonts w:eastAsia="宋体"/>
          <w:snapToGrid/>
          <w:szCs w:val="32"/>
        </w:rPr>
      </w:pPr>
      <w:r>
        <w:rPr>
          <w:rFonts w:eastAsia="方正黑体_GBK"/>
          <w:snapToGrid/>
          <w:szCs w:val="32"/>
        </w:rPr>
        <w:t xml:space="preserve">第二十五条 </w:t>
      </w:r>
      <w:r>
        <w:rPr>
          <w:rFonts w:hint="eastAsia" w:eastAsia="方正黑体_GBK"/>
          <w:snapToGrid/>
          <w:szCs w:val="32"/>
        </w:rPr>
        <w:t xml:space="preserve"> </w:t>
      </w:r>
      <w:r>
        <w:rPr>
          <w:snapToGrid/>
          <w:szCs w:val="32"/>
        </w:rPr>
        <w:t>理事会办公室依据本办法分类制定实施细则，委托省统筹中心每年对管理单位和专业机构科技资源统筹服务绩效进行考核评价，并通报考核评价结果。</w:t>
      </w:r>
    </w:p>
    <w:p>
      <w:pPr>
        <w:rPr>
          <w:snapToGrid/>
        </w:rPr>
      </w:pPr>
      <w:r>
        <w:rPr>
          <w:rFonts w:eastAsia="方正黑体_GBK"/>
          <w:snapToGrid/>
        </w:rPr>
        <w:t>第二十</w:t>
      </w:r>
      <w:r>
        <w:rPr>
          <w:rFonts w:eastAsia="黑体"/>
          <w:snapToGrid/>
        </w:rPr>
        <w:t>六</w:t>
      </w:r>
      <w:r>
        <w:rPr>
          <w:rFonts w:eastAsia="方正黑体_GBK"/>
          <w:snapToGrid/>
        </w:rPr>
        <w:t xml:space="preserve">条 </w:t>
      </w:r>
      <w:r>
        <w:rPr>
          <w:rFonts w:hint="eastAsia" w:eastAsia="方正黑体_GBK"/>
          <w:snapToGrid/>
        </w:rPr>
        <w:t xml:space="preserve"> </w:t>
      </w:r>
      <w:r>
        <w:rPr>
          <w:snapToGrid/>
        </w:rPr>
        <w:t>对管理单位的</w:t>
      </w:r>
      <w:r>
        <w:rPr>
          <w:snapToGrid/>
          <w:kern w:val="2"/>
        </w:rPr>
        <w:t>考核评价</w:t>
      </w:r>
      <w:r>
        <w:rPr>
          <w:snapToGrid/>
        </w:rPr>
        <w:t>主要包括资源整合能力、开放服务成效、运行管理水平等。</w:t>
      </w:r>
      <w:r>
        <w:rPr>
          <w:snapToGrid/>
          <w:kern w:val="2"/>
        </w:rPr>
        <w:t>考核评价</w:t>
      </w:r>
      <w:r>
        <w:rPr>
          <w:snapToGrid/>
        </w:rPr>
        <w:t>采取用户评价、系统在线测评、现场抽查和专家综合评价等方式。考核评价结果分为优秀、良好、合格、不合格四个等次。</w:t>
      </w:r>
      <w:r>
        <w:rPr>
          <w:snapToGrid/>
          <w:kern w:val="2"/>
        </w:rPr>
        <w:t>考核评价</w:t>
      </w:r>
      <w:r>
        <w:rPr>
          <w:snapToGrid/>
        </w:rPr>
        <w:t>结果作为省级重点实验室和省属科研机构等运行绩效评价的重要参考。</w:t>
      </w:r>
    </w:p>
    <w:p>
      <w:pPr>
        <w:autoSpaceDE/>
        <w:autoSpaceDN/>
        <w:adjustRightInd w:val="0"/>
        <w:spacing w:line="590" w:lineRule="exact"/>
        <w:ind w:firstLine="632" w:firstLineChars="200"/>
        <w:rPr>
          <w:snapToGrid/>
          <w:szCs w:val="32"/>
        </w:rPr>
      </w:pPr>
      <w:r>
        <w:rPr>
          <w:rFonts w:eastAsia="方正黑体_GBK"/>
          <w:snapToGrid/>
          <w:szCs w:val="32"/>
        </w:rPr>
        <w:t>第二十</w:t>
      </w:r>
      <w:r>
        <w:rPr>
          <w:rFonts w:eastAsia="黑体"/>
          <w:snapToGrid/>
          <w:szCs w:val="32"/>
        </w:rPr>
        <w:t>七</w:t>
      </w:r>
      <w:r>
        <w:rPr>
          <w:rFonts w:eastAsia="方正黑体_GBK"/>
          <w:snapToGrid/>
          <w:szCs w:val="32"/>
        </w:rPr>
        <w:t xml:space="preserve">条 </w:t>
      </w:r>
      <w:r>
        <w:rPr>
          <w:rFonts w:hint="eastAsia" w:eastAsia="方正黑体_GBK"/>
          <w:snapToGrid/>
          <w:szCs w:val="32"/>
        </w:rPr>
        <w:t xml:space="preserve"> </w:t>
      </w:r>
      <w:r>
        <w:rPr>
          <w:snapToGrid/>
          <w:szCs w:val="32"/>
        </w:rPr>
        <w:t>对考核评价优秀和良好的管理单位，理事会办公室给予一定的</w:t>
      </w:r>
      <w:r>
        <w:rPr>
          <w:snapToGrid/>
          <w:color w:val="000000"/>
          <w:szCs w:val="32"/>
        </w:rPr>
        <w:t>开放服务后补助</w:t>
      </w:r>
      <w:r>
        <w:rPr>
          <w:snapToGrid/>
          <w:szCs w:val="32"/>
        </w:rPr>
        <w:t>，优先推荐申报国家或省级资源共享与科技服务类科技创新基地。</w:t>
      </w:r>
    </w:p>
    <w:p>
      <w:pPr>
        <w:autoSpaceDE/>
        <w:autoSpaceDN/>
        <w:adjustRightInd w:val="0"/>
        <w:spacing w:line="590" w:lineRule="exact"/>
        <w:ind w:firstLine="632" w:firstLineChars="200"/>
        <w:rPr>
          <w:snapToGrid/>
          <w:szCs w:val="32"/>
        </w:rPr>
      </w:pPr>
      <w:r>
        <w:rPr>
          <w:snapToGrid/>
          <w:szCs w:val="32"/>
        </w:rPr>
        <w:t>对考核评价不合格的管理单位，理事会办公室会同行政主管部门责成其限期整改或约谈单位负责人。对连续2年考核评价不合格的管理单位，省有关部门视情节分别采取核减科技资源新购资金、取消省级资源共享与科技服务类科技创新基地资格、按规定划转相关大型科学仪器等措施。</w:t>
      </w:r>
    </w:p>
    <w:p>
      <w:pPr>
        <w:autoSpaceDE/>
        <w:autoSpaceDN/>
        <w:adjustRightInd w:val="0"/>
        <w:spacing w:line="590" w:lineRule="exact"/>
        <w:ind w:firstLine="632" w:firstLineChars="200"/>
        <w:rPr>
          <w:snapToGrid/>
          <w:szCs w:val="32"/>
        </w:rPr>
      </w:pPr>
      <w:r>
        <w:rPr>
          <w:snapToGrid/>
          <w:szCs w:val="32"/>
        </w:rPr>
        <w:t>管理单位获得的开放服务后补助和奖励资金，应主要用于科技资源建设运行维护、共享服务人员业务培训和绩效奖励等方面。</w:t>
      </w:r>
    </w:p>
    <w:p>
      <w:pPr>
        <w:autoSpaceDE/>
        <w:autoSpaceDN/>
        <w:adjustRightInd w:val="0"/>
        <w:spacing w:line="590" w:lineRule="exact"/>
        <w:ind w:firstLine="632" w:firstLineChars="200"/>
        <w:rPr>
          <w:snapToGrid/>
          <w:kern w:val="2"/>
          <w:szCs w:val="32"/>
        </w:rPr>
      </w:pPr>
      <w:r>
        <w:rPr>
          <w:rFonts w:eastAsia="方正黑体_GBK"/>
          <w:snapToGrid/>
          <w:szCs w:val="32"/>
        </w:rPr>
        <w:t xml:space="preserve">第二十八条 </w:t>
      </w:r>
      <w:r>
        <w:rPr>
          <w:rFonts w:hint="eastAsia" w:eastAsia="方正黑体_GBK"/>
          <w:snapToGrid/>
          <w:szCs w:val="32"/>
        </w:rPr>
        <w:t xml:space="preserve"> </w:t>
      </w:r>
      <w:r>
        <w:rPr>
          <w:snapToGrid/>
          <w:kern w:val="2"/>
          <w:szCs w:val="32"/>
        </w:rPr>
        <w:t>各行政主管部门应履行对管理单位的监督指导职责，逐步把管理单位科技资源统筹服务情况纳入年度综合考核范围。</w:t>
      </w:r>
    </w:p>
    <w:p>
      <w:pPr>
        <w:autoSpaceDE/>
        <w:autoSpaceDN/>
        <w:adjustRightInd w:val="0"/>
        <w:spacing w:line="590" w:lineRule="exact"/>
        <w:ind w:firstLine="630"/>
        <w:rPr>
          <w:snapToGrid/>
          <w:szCs w:val="32"/>
        </w:rPr>
      </w:pPr>
      <w:r>
        <w:rPr>
          <w:rFonts w:eastAsia="方正黑体_GBK"/>
          <w:snapToGrid/>
          <w:szCs w:val="32"/>
        </w:rPr>
        <w:t>第二十九条</w:t>
      </w:r>
      <w:r>
        <w:rPr>
          <w:snapToGrid/>
          <w:kern w:val="2"/>
          <w:szCs w:val="32"/>
        </w:rPr>
        <w:t xml:space="preserve"> </w:t>
      </w:r>
      <w:r>
        <w:rPr>
          <w:rFonts w:hint="eastAsia"/>
          <w:snapToGrid/>
          <w:kern w:val="2"/>
          <w:szCs w:val="32"/>
        </w:rPr>
        <w:t xml:space="preserve"> </w:t>
      </w:r>
      <w:r>
        <w:rPr>
          <w:snapToGrid/>
          <w:kern w:val="2"/>
          <w:szCs w:val="32"/>
        </w:rPr>
        <w:t>对专业机构的考核评价主要包括其在省统筹平台的实际服务量、响应速度、服务信用、用户评价等。对服务绩效优秀的专业机构给予表扬，优先向省统筹平台用</w:t>
      </w:r>
      <w:r>
        <w:rPr>
          <w:snapToGrid/>
          <w:szCs w:val="32"/>
        </w:rPr>
        <w:t>户推荐。</w:t>
      </w:r>
    </w:p>
    <w:p>
      <w:pPr>
        <w:autoSpaceDE/>
        <w:autoSpaceDN/>
        <w:adjustRightInd w:val="0"/>
        <w:spacing w:line="590" w:lineRule="exact"/>
        <w:ind w:firstLine="630"/>
        <w:rPr>
          <w:snapToGrid/>
          <w:szCs w:val="32"/>
        </w:rPr>
      </w:pPr>
      <w:r>
        <w:rPr>
          <w:rFonts w:eastAsia="黑体"/>
          <w:snapToGrid/>
          <w:szCs w:val="32"/>
        </w:rPr>
        <w:t xml:space="preserve">第三十条 </w:t>
      </w:r>
      <w:r>
        <w:rPr>
          <w:rFonts w:hint="eastAsia" w:eastAsia="黑体"/>
          <w:snapToGrid/>
          <w:szCs w:val="32"/>
        </w:rPr>
        <w:t xml:space="preserve"> </w:t>
      </w:r>
      <w:r>
        <w:rPr>
          <w:snapToGrid/>
          <w:szCs w:val="32"/>
        </w:rPr>
        <w:t>对参与实施科技创新券的管理单位和专业机构，结合</w:t>
      </w:r>
      <w:r>
        <w:rPr>
          <w:snapToGrid/>
          <w:kern w:val="2"/>
          <w:szCs w:val="32"/>
        </w:rPr>
        <w:t>考核评价</w:t>
      </w:r>
      <w:r>
        <w:rPr>
          <w:snapToGrid/>
          <w:szCs w:val="32"/>
        </w:rPr>
        <w:t>结果，省有关部门可按照实际服务总额最高5%的比例给予奖励，同一法人单位年度累计奖励金额最高不超过50万元。对充分发挥科技资源基础性支撑作用，在重大战略科研任务或者突发重大公共事件中取得重大成果、作出突出贡献的管理单位、专业机构或个人，按规定给予表彰。</w:t>
      </w:r>
    </w:p>
    <w:p>
      <w:pPr>
        <w:autoSpaceDE/>
        <w:autoSpaceDN/>
        <w:adjustRightInd w:val="0"/>
        <w:spacing w:line="590" w:lineRule="exact"/>
        <w:ind w:firstLine="632" w:firstLineChars="200"/>
        <w:rPr>
          <w:snapToGrid/>
          <w:szCs w:val="32"/>
        </w:rPr>
      </w:pPr>
      <w:r>
        <w:rPr>
          <w:rFonts w:eastAsia="黑体"/>
          <w:snapToGrid/>
          <w:szCs w:val="32"/>
        </w:rPr>
        <w:t>第</w:t>
      </w:r>
      <w:r>
        <w:rPr>
          <w:rFonts w:eastAsia="方正黑体_GBK"/>
          <w:snapToGrid/>
          <w:szCs w:val="32"/>
        </w:rPr>
        <w:t>三十一</w:t>
      </w:r>
      <w:r>
        <w:rPr>
          <w:rFonts w:eastAsia="黑体"/>
          <w:snapToGrid/>
          <w:szCs w:val="32"/>
        </w:rPr>
        <w:t xml:space="preserve">条 </w:t>
      </w:r>
      <w:r>
        <w:rPr>
          <w:rFonts w:hint="eastAsia" w:eastAsia="黑体"/>
          <w:snapToGrid/>
          <w:szCs w:val="32"/>
        </w:rPr>
        <w:t xml:space="preserve"> </w:t>
      </w:r>
      <w:r>
        <w:rPr>
          <w:snapToGrid/>
          <w:szCs w:val="32"/>
        </w:rPr>
        <w:t>理事会办公室建立举报投诉渠道，接受社会对科技资源统筹服务工作的监督。对有弄虚作假、骗取财政性资金等行为的单位或个人，由其行政主管部门依法依规处理。涉嫌犯罪的，依法移送司法机关处理。</w:t>
      </w:r>
    </w:p>
    <w:p>
      <w:pPr>
        <w:autoSpaceDE/>
        <w:autoSpaceDN/>
        <w:adjustRightInd w:val="0"/>
        <w:spacing w:before="295" w:beforeLines="50" w:after="295" w:afterLines="50" w:line="590" w:lineRule="exact"/>
        <w:ind w:firstLine="0"/>
        <w:jc w:val="center"/>
        <w:outlineLvl w:val="0"/>
        <w:rPr>
          <w:rFonts w:eastAsia="黑体"/>
          <w:bCs/>
          <w:snapToGrid/>
          <w:szCs w:val="32"/>
        </w:rPr>
      </w:pPr>
      <w:r>
        <w:rPr>
          <w:rFonts w:eastAsia="黑体"/>
          <w:bCs/>
          <w:snapToGrid/>
          <w:szCs w:val="32"/>
        </w:rPr>
        <w:t xml:space="preserve">第六章 </w:t>
      </w:r>
      <w:r>
        <w:rPr>
          <w:rFonts w:hint="eastAsia" w:eastAsia="黑体"/>
          <w:bCs/>
          <w:snapToGrid/>
          <w:szCs w:val="32"/>
        </w:rPr>
        <w:t xml:space="preserve"> </w:t>
      </w:r>
      <w:r>
        <w:rPr>
          <w:rFonts w:eastAsia="黑体"/>
          <w:bCs/>
          <w:snapToGrid/>
          <w:szCs w:val="32"/>
        </w:rPr>
        <w:t xml:space="preserve">附 </w:t>
      </w:r>
      <w:r>
        <w:rPr>
          <w:rFonts w:hint="eastAsia" w:eastAsia="黑体"/>
          <w:bCs/>
          <w:snapToGrid/>
          <w:szCs w:val="32"/>
        </w:rPr>
        <w:t xml:space="preserve"> </w:t>
      </w:r>
      <w:r>
        <w:rPr>
          <w:rFonts w:eastAsia="黑体"/>
          <w:bCs/>
          <w:snapToGrid/>
          <w:szCs w:val="32"/>
        </w:rPr>
        <w:t>则</w:t>
      </w:r>
    </w:p>
    <w:p>
      <w:pPr>
        <w:autoSpaceDE/>
        <w:autoSpaceDN/>
        <w:adjustRightInd w:val="0"/>
        <w:spacing w:line="590" w:lineRule="exact"/>
        <w:ind w:firstLine="632" w:firstLineChars="200"/>
        <w:rPr>
          <w:rFonts w:eastAsia="黑体"/>
          <w:snapToGrid/>
          <w:szCs w:val="32"/>
        </w:rPr>
      </w:pPr>
      <w:r>
        <w:rPr>
          <w:rFonts w:eastAsia="黑体"/>
          <w:snapToGrid/>
          <w:szCs w:val="32"/>
        </w:rPr>
        <w:t>第</w:t>
      </w:r>
      <w:r>
        <w:rPr>
          <w:rFonts w:eastAsia="方正黑体_GBK"/>
          <w:snapToGrid/>
          <w:szCs w:val="32"/>
        </w:rPr>
        <w:t>三十二</w:t>
      </w:r>
      <w:r>
        <w:rPr>
          <w:rFonts w:eastAsia="黑体"/>
          <w:snapToGrid/>
          <w:szCs w:val="32"/>
        </w:rPr>
        <w:t xml:space="preserve">条 </w:t>
      </w:r>
      <w:r>
        <w:rPr>
          <w:rFonts w:hint="eastAsia" w:eastAsia="黑体"/>
          <w:snapToGrid/>
          <w:szCs w:val="32"/>
        </w:rPr>
        <w:t xml:space="preserve"> </w:t>
      </w:r>
      <w:r>
        <w:rPr>
          <w:snapToGrid/>
          <w:szCs w:val="32"/>
        </w:rPr>
        <w:t>本省行政区域内部属高等学校、科研院所等参照本办法执行；各设区市、县（市、区）可参照本办法制定本级公共科技资源统筹服务管理实施办法。</w:t>
      </w:r>
    </w:p>
    <w:p>
      <w:pPr>
        <w:autoSpaceDE/>
        <w:autoSpaceDN/>
        <w:adjustRightInd w:val="0"/>
        <w:spacing w:line="590" w:lineRule="exact"/>
        <w:ind w:firstLine="632" w:firstLineChars="200"/>
        <w:rPr>
          <w:snapToGrid/>
          <w:szCs w:val="32"/>
        </w:rPr>
      </w:pPr>
      <w:r>
        <w:rPr>
          <w:rFonts w:eastAsia="黑体"/>
          <w:snapToGrid/>
          <w:szCs w:val="32"/>
        </w:rPr>
        <w:t xml:space="preserve">第三十三条 </w:t>
      </w:r>
      <w:r>
        <w:rPr>
          <w:rFonts w:hint="eastAsia" w:eastAsia="黑体"/>
          <w:snapToGrid/>
          <w:szCs w:val="32"/>
        </w:rPr>
        <w:t xml:space="preserve"> </w:t>
      </w:r>
      <w:r>
        <w:rPr>
          <w:rFonts w:hint="eastAsia"/>
          <w:snapToGrid/>
          <w:szCs w:val="32"/>
        </w:rPr>
        <w:t>本办</w:t>
      </w:r>
      <w:bookmarkStart w:id="10" w:name="_GoBack"/>
      <w:bookmarkEnd w:id="10"/>
      <w:r>
        <w:rPr>
          <w:rFonts w:hint="eastAsia"/>
          <w:snapToGrid/>
          <w:szCs w:val="32"/>
        </w:rPr>
        <w:t>法自2020年10月1日起施行。</w:t>
      </w:r>
    </w:p>
    <w:p>
      <w:pPr>
        <w:widowControl/>
        <w:autoSpaceDE/>
        <w:autoSpaceDN/>
        <w:snapToGrid/>
        <w:spacing w:line="240" w:lineRule="auto"/>
        <w:ind w:firstLine="0"/>
        <w:jc w:val="left"/>
        <w:rPr>
          <w:rFonts w:eastAsia="黑体"/>
          <w:snapToGrid/>
          <w:kern w:val="2"/>
          <w:szCs w:val="32"/>
        </w:rPr>
      </w:pPr>
      <w:r>
        <w:rPr>
          <w:snapToGrid/>
          <w:szCs w:val="32"/>
        </w:rPr>
        <w:br w:type="page"/>
      </w:r>
      <w:r>
        <w:rPr>
          <w:rFonts w:eastAsia="黑体"/>
          <w:snapToGrid/>
          <w:kern w:val="2"/>
          <w:szCs w:val="32"/>
        </w:rPr>
        <w:t>附</w:t>
      </w:r>
    </w:p>
    <w:p>
      <w:pPr>
        <w:autoSpaceDE/>
        <w:autoSpaceDN/>
        <w:snapToGrid/>
        <w:spacing w:line="590" w:lineRule="exact"/>
        <w:ind w:firstLine="0"/>
        <w:jc w:val="center"/>
        <w:rPr>
          <w:rFonts w:eastAsia="方正小标宋_GBK"/>
          <w:snapToGrid/>
          <w:kern w:val="2"/>
          <w:sz w:val="36"/>
          <w:szCs w:val="36"/>
        </w:rPr>
      </w:pPr>
      <w:r>
        <w:rPr>
          <w:rFonts w:eastAsia="方正小标宋_GBK"/>
          <w:snapToGrid/>
          <w:kern w:val="2"/>
          <w:sz w:val="36"/>
          <w:szCs w:val="36"/>
        </w:rPr>
        <w:t>江苏省科技资源统筹服务考核评价指标体系</w:t>
      </w:r>
    </w:p>
    <w:p>
      <w:pPr>
        <w:autoSpaceDE/>
        <w:autoSpaceDN/>
        <w:snapToGrid/>
        <w:spacing w:line="590" w:lineRule="exact"/>
        <w:ind w:firstLine="0"/>
        <w:jc w:val="center"/>
        <w:rPr>
          <w:rFonts w:eastAsia="方正小标宋_GBK"/>
          <w:snapToGrid/>
          <w:kern w:val="2"/>
          <w:sz w:val="44"/>
          <w:szCs w:val="24"/>
        </w:rPr>
      </w:pPr>
    </w:p>
    <w:tbl>
      <w:tblPr>
        <w:tblStyle w:val="7"/>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4"/>
        <w:gridCol w:w="1287"/>
        <w:gridCol w:w="36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836" w:type="dxa"/>
            <w:gridSpan w:val="2"/>
            <w:vAlign w:val="center"/>
          </w:tcPr>
          <w:p>
            <w:pPr>
              <w:widowControl/>
              <w:autoSpaceDE/>
              <w:autoSpaceDN/>
              <w:snapToGrid/>
              <w:spacing w:line="240" w:lineRule="auto"/>
              <w:ind w:firstLine="0"/>
              <w:jc w:val="center"/>
              <w:rPr>
                <w:rFonts w:eastAsia="方正楷体_GBK"/>
                <w:bCs/>
                <w:snapToGrid/>
                <w:sz w:val="28"/>
                <w:szCs w:val="28"/>
              </w:rPr>
            </w:pPr>
            <w:r>
              <w:rPr>
                <w:rFonts w:eastAsia="方正楷体_GBK"/>
                <w:bCs/>
                <w:snapToGrid/>
                <w:sz w:val="28"/>
                <w:szCs w:val="28"/>
              </w:rPr>
              <w:t>一级指标</w:t>
            </w:r>
          </w:p>
        </w:tc>
        <w:tc>
          <w:tcPr>
            <w:tcW w:w="1287" w:type="dxa"/>
            <w:vAlign w:val="center"/>
          </w:tcPr>
          <w:p>
            <w:pPr>
              <w:widowControl/>
              <w:autoSpaceDE/>
              <w:autoSpaceDN/>
              <w:snapToGrid/>
              <w:spacing w:line="240" w:lineRule="auto"/>
              <w:ind w:firstLine="0"/>
              <w:jc w:val="center"/>
              <w:rPr>
                <w:rFonts w:eastAsia="方正楷体_GBK"/>
                <w:bCs/>
                <w:snapToGrid/>
                <w:sz w:val="28"/>
                <w:szCs w:val="28"/>
              </w:rPr>
            </w:pPr>
            <w:r>
              <w:rPr>
                <w:rFonts w:eastAsia="方正楷体_GBK"/>
                <w:bCs/>
                <w:snapToGrid/>
                <w:sz w:val="28"/>
                <w:szCs w:val="28"/>
              </w:rPr>
              <w:t>权重</w:t>
            </w:r>
          </w:p>
        </w:tc>
        <w:tc>
          <w:tcPr>
            <w:tcW w:w="3685" w:type="dxa"/>
            <w:vAlign w:val="center"/>
          </w:tcPr>
          <w:p>
            <w:pPr>
              <w:widowControl/>
              <w:autoSpaceDE/>
              <w:autoSpaceDN/>
              <w:snapToGrid/>
              <w:spacing w:line="240" w:lineRule="auto"/>
              <w:ind w:firstLine="0"/>
              <w:jc w:val="center"/>
              <w:rPr>
                <w:rFonts w:eastAsia="方正楷体_GBK"/>
                <w:bCs/>
                <w:snapToGrid/>
                <w:sz w:val="28"/>
                <w:szCs w:val="28"/>
              </w:rPr>
            </w:pPr>
            <w:r>
              <w:rPr>
                <w:rFonts w:eastAsia="方正楷体_GBK"/>
                <w:bCs/>
                <w:snapToGrid/>
                <w:sz w:val="28"/>
                <w:szCs w:val="28"/>
              </w:rPr>
              <w:t>二级指标</w:t>
            </w:r>
          </w:p>
        </w:tc>
        <w:tc>
          <w:tcPr>
            <w:tcW w:w="1701" w:type="dxa"/>
            <w:vAlign w:val="center"/>
          </w:tcPr>
          <w:p>
            <w:pPr>
              <w:widowControl/>
              <w:autoSpaceDE/>
              <w:autoSpaceDN/>
              <w:snapToGrid/>
              <w:spacing w:line="240" w:lineRule="auto"/>
              <w:ind w:firstLine="0"/>
              <w:jc w:val="center"/>
              <w:rPr>
                <w:rFonts w:eastAsia="方正楷体_GBK"/>
                <w:bCs/>
                <w:snapToGrid/>
                <w:sz w:val="28"/>
                <w:szCs w:val="28"/>
              </w:rPr>
            </w:pPr>
            <w:r>
              <w:rPr>
                <w:rFonts w:eastAsia="方正楷体_GBK"/>
                <w:bCs/>
                <w:snapToGrid/>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52" w:type="dxa"/>
            <w:vMerge w:val="restart"/>
            <w:vAlign w:val="center"/>
          </w:tcPr>
          <w:p>
            <w:pPr>
              <w:widowControl/>
              <w:autoSpaceDE/>
              <w:autoSpaceDN/>
              <w:snapToGrid/>
              <w:spacing w:line="240" w:lineRule="auto"/>
              <w:ind w:firstLine="0"/>
              <w:jc w:val="center"/>
              <w:rPr>
                <w:snapToGrid/>
                <w:sz w:val="28"/>
                <w:szCs w:val="28"/>
              </w:rPr>
            </w:pPr>
            <w:r>
              <w:rPr>
                <w:snapToGrid/>
                <w:sz w:val="28"/>
                <w:szCs w:val="28"/>
              </w:rPr>
              <w:t>一、</w:t>
            </w:r>
          </w:p>
        </w:tc>
        <w:tc>
          <w:tcPr>
            <w:tcW w:w="1984" w:type="dxa"/>
            <w:vMerge w:val="restart"/>
            <w:vAlign w:val="center"/>
          </w:tcPr>
          <w:p>
            <w:pPr>
              <w:widowControl/>
              <w:autoSpaceDE/>
              <w:autoSpaceDN/>
              <w:spacing w:line="240" w:lineRule="auto"/>
              <w:ind w:firstLine="0"/>
              <w:jc w:val="center"/>
              <w:rPr>
                <w:snapToGrid/>
                <w:sz w:val="28"/>
                <w:szCs w:val="28"/>
              </w:rPr>
            </w:pPr>
            <w:r>
              <w:rPr>
                <w:snapToGrid/>
                <w:sz w:val="28"/>
                <w:szCs w:val="28"/>
              </w:rPr>
              <w:t>资源整合能力</w:t>
            </w:r>
          </w:p>
        </w:tc>
        <w:tc>
          <w:tcPr>
            <w:tcW w:w="1287" w:type="dxa"/>
            <w:vMerge w:val="restart"/>
            <w:vAlign w:val="center"/>
          </w:tcPr>
          <w:p>
            <w:pPr>
              <w:widowControl/>
              <w:autoSpaceDE/>
              <w:autoSpaceDN/>
              <w:snapToGrid/>
              <w:spacing w:line="240" w:lineRule="auto"/>
              <w:ind w:firstLine="0"/>
              <w:jc w:val="center"/>
              <w:rPr>
                <w:snapToGrid/>
                <w:sz w:val="28"/>
                <w:szCs w:val="28"/>
              </w:rPr>
            </w:pPr>
            <w:r>
              <w:rPr>
                <w:snapToGrid/>
                <w:sz w:val="28"/>
                <w:szCs w:val="28"/>
              </w:rPr>
              <w:t>30%</w:t>
            </w: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资源整合</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2"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984"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287"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资源质量</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2"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984"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287"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人才团队</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52" w:type="dxa"/>
            <w:vMerge w:val="restart"/>
            <w:vAlign w:val="center"/>
          </w:tcPr>
          <w:p>
            <w:pPr>
              <w:widowControl/>
              <w:autoSpaceDE/>
              <w:autoSpaceDN/>
              <w:snapToGrid/>
              <w:spacing w:line="240" w:lineRule="auto"/>
              <w:ind w:firstLine="0"/>
              <w:jc w:val="center"/>
              <w:rPr>
                <w:snapToGrid/>
                <w:sz w:val="28"/>
                <w:szCs w:val="28"/>
              </w:rPr>
            </w:pPr>
            <w:r>
              <w:rPr>
                <w:snapToGrid/>
                <w:sz w:val="28"/>
                <w:szCs w:val="28"/>
              </w:rPr>
              <w:t>二、</w:t>
            </w:r>
          </w:p>
        </w:tc>
        <w:tc>
          <w:tcPr>
            <w:tcW w:w="1984" w:type="dxa"/>
            <w:vMerge w:val="restart"/>
            <w:vAlign w:val="center"/>
          </w:tcPr>
          <w:p>
            <w:pPr>
              <w:widowControl/>
              <w:autoSpaceDE/>
              <w:autoSpaceDN/>
              <w:spacing w:line="240" w:lineRule="auto"/>
              <w:ind w:firstLine="0"/>
              <w:jc w:val="center"/>
              <w:rPr>
                <w:snapToGrid/>
                <w:sz w:val="28"/>
                <w:szCs w:val="28"/>
              </w:rPr>
            </w:pPr>
            <w:r>
              <w:rPr>
                <w:snapToGrid/>
                <w:sz w:val="28"/>
                <w:szCs w:val="28"/>
              </w:rPr>
              <w:t>开放服务成效</w:t>
            </w:r>
          </w:p>
        </w:tc>
        <w:tc>
          <w:tcPr>
            <w:tcW w:w="1287" w:type="dxa"/>
            <w:vMerge w:val="restart"/>
            <w:vAlign w:val="center"/>
          </w:tcPr>
          <w:p>
            <w:pPr>
              <w:widowControl/>
              <w:autoSpaceDE/>
              <w:autoSpaceDN/>
              <w:snapToGrid/>
              <w:spacing w:line="240" w:lineRule="auto"/>
              <w:ind w:firstLine="0"/>
              <w:jc w:val="center"/>
              <w:rPr>
                <w:snapToGrid/>
                <w:sz w:val="28"/>
                <w:szCs w:val="28"/>
              </w:rPr>
            </w:pPr>
            <w:r>
              <w:rPr>
                <w:snapToGrid/>
                <w:sz w:val="28"/>
                <w:szCs w:val="28"/>
              </w:rPr>
              <w:t>50%</w:t>
            </w: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资源使用效率及贡献度</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52"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984"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287"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标志性服务成效</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52"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984"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287"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对外服务量</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52" w:type="dxa"/>
            <w:vMerge w:val="restart"/>
            <w:vAlign w:val="center"/>
          </w:tcPr>
          <w:p>
            <w:pPr>
              <w:widowControl/>
              <w:autoSpaceDE/>
              <w:autoSpaceDN/>
              <w:snapToGrid/>
              <w:spacing w:line="240" w:lineRule="auto"/>
              <w:ind w:firstLine="0"/>
              <w:jc w:val="center"/>
              <w:rPr>
                <w:snapToGrid/>
                <w:sz w:val="28"/>
                <w:szCs w:val="28"/>
              </w:rPr>
            </w:pPr>
            <w:r>
              <w:rPr>
                <w:snapToGrid/>
                <w:sz w:val="28"/>
                <w:szCs w:val="28"/>
              </w:rPr>
              <w:t>三、</w:t>
            </w:r>
          </w:p>
        </w:tc>
        <w:tc>
          <w:tcPr>
            <w:tcW w:w="1984" w:type="dxa"/>
            <w:vMerge w:val="restart"/>
            <w:vAlign w:val="center"/>
          </w:tcPr>
          <w:p>
            <w:pPr>
              <w:widowControl/>
              <w:autoSpaceDE/>
              <w:autoSpaceDN/>
              <w:spacing w:line="240" w:lineRule="auto"/>
              <w:ind w:firstLine="0"/>
              <w:jc w:val="center"/>
              <w:rPr>
                <w:snapToGrid/>
                <w:sz w:val="28"/>
                <w:szCs w:val="28"/>
              </w:rPr>
            </w:pPr>
            <w:r>
              <w:rPr>
                <w:snapToGrid/>
                <w:sz w:val="28"/>
                <w:szCs w:val="28"/>
              </w:rPr>
              <w:t>运行管理水平</w:t>
            </w:r>
          </w:p>
        </w:tc>
        <w:tc>
          <w:tcPr>
            <w:tcW w:w="1287" w:type="dxa"/>
            <w:vMerge w:val="restart"/>
            <w:vAlign w:val="center"/>
          </w:tcPr>
          <w:p>
            <w:pPr>
              <w:widowControl/>
              <w:autoSpaceDE/>
              <w:autoSpaceDN/>
              <w:snapToGrid/>
              <w:spacing w:line="240" w:lineRule="auto"/>
              <w:ind w:firstLine="0"/>
              <w:jc w:val="center"/>
              <w:rPr>
                <w:snapToGrid/>
                <w:sz w:val="28"/>
                <w:szCs w:val="28"/>
              </w:rPr>
            </w:pPr>
            <w:r>
              <w:rPr>
                <w:snapToGrid/>
                <w:sz w:val="28"/>
                <w:szCs w:val="28"/>
              </w:rPr>
              <w:t>20%</w:t>
            </w: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制度建设及落实情况</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852" w:type="dxa"/>
            <w:vMerge w:val="continue"/>
            <w:vAlign w:val="center"/>
          </w:tcPr>
          <w:p>
            <w:pPr>
              <w:widowControl/>
              <w:autoSpaceDE/>
              <w:autoSpaceDN/>
              <w:adjustRightInd w:val="0"/>
              <w:spacing w:line="240" w:lineRule="auto"/>
              <w:ind w:firstLine="552" w:firstLineChars="200"/>
              <w:jc w:val="left"/>
              <w:outlineLvl w:val="0"/>
              <w:rPr>
                <w:snapToGrid/>
                <w:sz w:val="28"/>
                <w:szCs w:val="28"/>
              </w:rPr>
            </w:pPr>
          </w:p>
        </w:tc>
        <w:tc>
          <w:tcPr>
            <w:tcW w:w="1984" w:type="dxa"/>
            <w:vMerge w:val="continue"/>
            <w:vAlign w:val="center"/>
          </w:tcPr>
          <w:p>
            <w:pPr>
              <w:widowControl/>
              <w:autoSpaceDE/>
              <w:autoSpaceDN/>
              <w:adjustRightInd w:val="0"/>
              <w:spacing w:line="240" w:lineRule="auto"/>
              <w:ind w:firstLine="552" w:firstLineChars="200"/>
              <w:jc w:val="center"/>
              <w:outlineLvl w:val="0"/>
              <w:rPr>
                <w:snapToGrid/>
                <w:sz w:val="28"/>
                <w:szCs w:val="28"/>
              </w:rPr>
            </w:pPr>
          </w:p>
        </w:tc>
        <w:tc>
          <w:tcPr>
            <w:tcW w:w="1287" w:type="dxa"/>
            <w:vMerge w:val="continue"/>
            <w:vAlign w:val="center"/>
          </w:tcPr>
          <w:p>
            <w:pPr>
              <w:widowControl/>
              <w:autoSpaceDE/>
              <w:autoSpaceDN/>
              <w:adjustRightInd w:val="0"/>
              <w:spacing w:line="240" w:lineRule="auto"/>
              <w:ind w:firstLine="552" w:firstLineChars="200"/>
              <w:jc w:val="left"/>
              <w:outlineLvl w:val="0"/>
              <w:rPr>
                <w:snapToGrid/>
                <w:sz w:val="28"/>
                <w:szCs w:val="28"/>
              </w:rPr>
            </w:pPr>
          </w:p>
        </w:tc>
        <w:tc>
          <w:tcPr>
            <w:tcW w:w="3685" w:type="dxa"/>
            <w:vAlign w:val="center"/>
          </w:tcPr>
          <w:p>
            <w:pPr>
              <w:widowControl/>
              <w:autoSpaceDE/>
              <w:autoSpaceDN/>
              <w:snapToGrid/>
              <w:spacing w:line="240" w:lineRule="auto"/>
              <w:ind w:firstLine="0"/>
              <w:jc w:val="left"/>
              <w:rPr>
                <w:snapToGrid/>
                <w:sz w:val="28"/>
                <w:szCs w:val="28"/>
              </w:rPr>
            </w:pPr>
            <w:r>
              <w:rPr>
                <w:snapToGrid/>
                <w:sz w:val="28"/>
                <w:szCs w:val="28"/>
              </w:rPr>
              <w:t>支撑保障</w:t>
            </w:r>
          </w:p>
        </w:tc>
        <w:tc>
          <w:tcPr>
            <w:tcW w:w="1701" w:type="dxa"/>
            <w:vAlign w:val="center"/>
          </w:tcPr>
          <w:p>
            <w:pPr>
              <w:widowControl/>
              <w:autoSpaceDE/>
              <w:autoSpaceDN/>
              <w:snapToGrid/>
              <w:spacing w:line="240" w:lineRule="auto"/>
              <w:ind w:firstLine="0"/>
              <w:jc w:val="center"/>
              <w:rPr>
                <w:snapToGrid/>
                <w:sz w:val="28"/>
                <w:szCs w:val="28"/>
              </w:rPr>
            </w:pPr>
            <w:r>
              <w:rPr>
                <w:snapToGrid/>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52" w:type="dxa"/>
            <w:vAlign w:val="center"/>
          </w:tcPr>
          <w:p>
            <w:pPr>
              <w:widowControl/>
              <w:autoSpaceDE/>
              <w:autoSpaceDN/>
              <w:snapToGrid/>
              <w:spacing w:line="240" w:lineRule="auto"/>
              <w:ind w:firstLine="0"/>
              <w:jc w:val="center"/>
              <w:rPr>
                <w:snapToGrid/>
                <w:sz w:val="28"/>
                <w:szCs w:val="28"/>
              </w:rPr>
            </w:pPr>
            <w:r>
              <w:rPr>
                <w:snapToGrid/>
                <w:sz w:val="28"/>
                <w:szCs w:val="28"/>
              </w:rPr>
              <w:t>四、</w:t>
            </w:r>
          </w:p>
        </w:tc>
        <w:tc>
          <w:tcPr>
            <w:tcW w:w="1984" w:type="dxa"/>
            <w:vAlign w:val="center"/>
          </w:tcPr>
          <w:p>
            <w:pPr>
              <w:widowControl/>
              <w:autoSpaceDE/>
              <w:autoSpaceDN/>
              <w:spacing w:line="240" w:lineRule="auto"/>
              <w:ind w:firstLine="0"/>
              <w:jc w:val="center"/>
              <w:rPr>
                <w:snapToGrid/>
                <w:sz w:val="28"/>
                <w:szCs w:val="28"/>
              </w:rPr>
            </w:pPr>
            <w:r>
              <w:rPr>
                <w:snapToGrid/>
                <w:sz w:val="28"/>
                <w:szCs w:val="28"/>
              </w:rPr>
              <w:t>信用与安全</w:t>
            </w:r>
          </w:p>
        </w:tc>
        <w:tc>
          <w:tcPr>
            <w:tcW w:w="6673" w:type="dxa"/>
            <w:gridSpan w:val="3"/>
            <w:vAlign w:val="center"/>
          </w:tcPr>
          <w:p>
            <w:pPr>
              <w:autoSpaceDE/>
              <w:autoSpaceDN/>
              <w:spacing w:line="240" w:lineRule="auto"/>
              <w:ind w:firstLine="0"/>
              <w:jc w:val="left"/>
              <w:rPr>
                <w:bCs/>
                <w:snapToGrid/>
                <w:sz w:val="28"/>
                <w:szCs w:val="28"/>
              </w:rPr>
            </w:pPr>
            <w:r>
              <w:rPr>
                <w:snapToGrid/>
                <w:kern w:val="2"/>
                <w:sz w:val="24"/>
                <w:szCs w:val="24"/>
              </w:rPr>
              <w:t>如发生违反科研伦理、学术道德，以及弄虚作假、骗取财政性资金等失信行为，或安全生产、信息安全及涉密安全等事故的，经查实后，视相关情节予以处理。</w:t>
            </w:r>
          </w:p>
        </w:tc>
      </w:tr>
    </w:tbl>
    <w:p>
      <w:pPr>
        <w:autoSpaceDE/>
        <w:autoSpaceDN/>
        <w:snapToGrid/>
        <w:spacing w:line="240" w:lineRule="auto"/>
        <w:ind w:firstLine="0"/>
        <w:rPr>
          <w:rFonts w:eastAsia="宋体"/>
          <w:snapToGrid/>
          <w:kern w:val="2"/>
          <w:sz w:val="21"/>
          <w:szCs w:val="22"/>
        </w:rPr>
      </w:pPr>
    </w:p>
    <w:p/>
    <w:tbl>
      <w:tblPr>
        <w:tblStyle w:val="7"/>
        <w:tblpPr w:leftFromText="181" w:rightFromText="181" w:vertAnchor="page" w:horzAnchor="margin" w:tblpY="12985"/>
        <w:tblOverlap w:val="never"/>
        <w:tblW w:w="0" w:type="auto"/>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shd w:val="clear" w:color="auto" w:fill="auto"/>
          </w:tcPr>
          <w:p>
            <w:pPr>
              <w:spacing w:before="295" w:beforeLines="50"/>
              <w:ind w:firstLine="0"/>
              <w:rPr>
                <w:rFonts w:eastAsia="方正黑体_GBK"/>
                <w:szCs w:val="32"/>
              </w:rPr>
            </w:pPr>
          </w:p>
        </w:tc>
      </w:tr>
      <w:tr>
        <w:tblPrEx>
          <w:tblCellMar>
            <w:top w:w="0" w:type="dxa"/>
            <w:left w:w="108" w:type="dxa"/>
            <w:bottom w:w="0" w:type="dxa"/>
            <w:right w:w="108" w:type="dxa"/>
          </w:tblCellMar>
        </w:tblPrEx>
        <w:tc>
          <w:tcPr>
            <w:tcW w:w="9060" w:type="dxa"/>
            <w:shd w:val="clear" w:color="auto" w:fill="auto"/>
          </w:tcPr>
          <w:p>
            <w:pPr>
              <w:pStyle w:val="18"/>
              <w:snapToGrid w:val="0"/>
              <w:spacing w:line="100" w:lineRule="atLeast"/>
              <w:ind w:left="-57" w:right="-57"/>
              <w:jc w:val="both"/>
              <w:rPr>
                <w:b/>
              </w:rPr>
            </w:pPr>
            <w:r>
              <w:rPr>
                <w:b/>
              </w:rPr>
              <w:object>
                <v:shape id="_x0000_i1025" o:spt="75" type="#_x0000_t75" style="height:2.4pt;width:442.2pt;" o:ole="t" fillcolor="#FFFFFF" filled="f" o:preferrelative="t" stroked="f" coordsize="21600,21600">
                  <v:path/>
                  <v:fill on="f" focussize="0,0"/>
                  <v:stroke on="f" joinstyle="miter"/>
                  <v:imagedata r:id="rId9" o:title=""/>
                  <o:lock v:ext="edit" aspectratio="f"/>
                  <w10:wrap type="none"/>
                  <w10:anchorlock/>
                </v:shape>
                <o:OLEObject Type="Embed" ProgID="MSDraw" ShapeID="_x0000_i1025" DrawAspect="Content" ObjectID="_1468075725" r:id="rId8">
                  <o:LockedField>false</o:LockedField>
                </o:OLEObject>
              </w:object>
            </w:r>
          </w:p>
          <w:p>
            <w:pPr>
              <w:pStyle w:val="19"/>
              <w:tabs>
                <w:tab w:val="right" w:pos="8533"/>
                <w:tab w:val="clear" w:pos="8465"/>
              </w:tabs>
              <w:spacing w:after="40"/>
              <w:ind w:left="312" w:right="0"/>
              <w:jc w:val="both"/>
              <w:rPr>
                <w:sz w:val="28"/>
                <w:szCs w:val="28"/>
              </w:rPr>
            </w:pPr>
            <w:r>
              <w:rPr>
                <w:sz w:val="28"/>
                <w:szCs w:val="28"/>
              </w:rPr>
              <w:t>江苏省科学技术厅办公室</w:t>
            </w:r>
            <w:r>
              <w:rPr>
                <w:sz w:val="28"/>
                <w:szCs w:val="28"/>
              </w:rPr>
              <w:tab/>
            </w:r>
            <w:bookmarkStart w:id="9" w:name="印发日期"/>
            <w:bookmarkEnd w:id="9"/>
            <w:r>
              <w:rPr>
                <w:sz w:val="28"/>
                <w:szCs w:val="28"/>
              </w:rPr>
              <w:t>2020年8月1</w:t>
            </w:r>
            <w:r>
              <w:rPr>
                <w:rFonts w:hint="eastAsia"/>
                <w:sz w:val="28"/>
                <w:szCs w:val="28"/>
              </w:rPr>
              <w:t>1</w:t>
            </w:r>
            <w:r>
              <w:rPr>
                <w:sz w:val="28"/>
                <w:szCs w:val="28"/>
              </w:rPr>
              <w:t>日印发</w:t>
            </w:r>
          </w:p>
          <w:p>
            <w:pPr>
              <w:pStyle w:val="18"/>
              <w:snapToGrid w:val="0"/>
              <w:spacing w:line="100" w:lineRule="atLeast"/>
              <w:ind w:left="-57" w:right="-57"/>
              <w:jc w:val="both"/>
              <w:rPr>
                <w:b/>
              </w:rPr>
            </w:pPr>
            <w:r>
              <w:object>
                <v:shape id="_x0000_i1026" o:spt="75" type="#_x0000_t75" style="height:2.4pt;width:442.2pt;" o:ole="t" fillcolor="#FFFFFF" filled="f" o:preferrelative="t" stroked="f" coordsize="21600,21600">
                  <v:path/>
                  <v:fill on="f" focussize="0,0"/>
                  <v:stroke on="f" joinstyle="miter"/>
                  <v:imagedata r:id="rId9" o:title=""/>
                  <o:lock v:ext="edit" aspectratio="f"/>
                  <w10:wrap type="none"/>
                  <w10:anchorlock/>
                </v:shape>
                <o:OLEObject Type="Embed" ProgID="MSDraw" ShapeID="_x0000_i1026" DrawAspect="Content" ObjectID="_1468075726" r:id="rId10">
                  <o:LockedField>false</o:LockedField>
                </o:OLEObject>
              </w:object>
            </w:r>
          </w:p>
        </w:tc>
      </w:tr>
    </w:tbl>
    <w:p>
      <w:pPr>
        <w:spacing w:line="20" w:lineRule="exact"/>
        <w:rPr>
          <w:sz w:val="18"/>
          <w:szCs w:val="18"/>
        </w:rPr>
      </w:pPr>
    </w:p>
    <w:p>
      <w:pPr>
        <w:spacing w:line="20" w:lineRule="exact"/>
        <w:rPr>
          <w:sz w:val="18"/>
          <w:szCs w:val="18"/>
        </w:rPr>
      </w:pPr>
    </w:p>
    <w:p>
      <w:pPr>
        <w:spacing w:line="20" w:lineRule="exact"/>
        <w:rPr>
          <w:sz w:val="18"/>
          <w:szCs w:val="18"/>
        </w:rPr>
      </w:pPr>
    </w:p>
    <w:sectPr>
      <w:headerReference r:id="rId3" w:type="default"/>
      <w:footerReference r:id="rId5" w:type="default"/>
      <w:headerReference r:id="rId4" w:type="even"/>
      <w:footerReference r:id="rId6" w:type="even"/>
      <w:pgSz w:w="11906" w:h="16838"/>
      <w:pgMar w:top="1814" w:right="1531" w:bottom="1985" w:left="1531" w:header="720" w:footer="1474" w:gutter="0"/>
      <w:paperSrc w:first="15" w:other="15"/>
      <w:pgNumType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pPr>
    <w:r>
      <w:rPr>
        <w:rFonts w:hint="eastAsia"/>
      </w:rPr>
      <w:t xml:space="preserve">— </w:t>
    </w: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r>
      <w:rPr>
        <w:rStyle w:val="10"/>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both"/>
    </w:pPr>
    <w:r>
      <w:rPr>
        <w:rFonts w:hint="eastAsia"/>
      </w:rPr>
      <w:t xml:space="preserve">— </w:t>
    </w:r>
    <w:r>
      <w:rPr>
        <w:rStyle w:val="10"/>
      </w:rPr>
      <w:fldChar w:fldCharType="begin"/>
    </w:r>
    <w:r>
      <w:rPr>
        <w:rStyle w:val="10"/>
      </w:rPr>
      <w:instrText xml:space="preserve"> PAGE </w:instrText>
    </w:r>
    <w:r>
      <w:rPr>
        <w:rStyle w:val="10"/>
      </w:rPr>
      <w:fldChar w:fldCharType="separate"/>
    </w:r>
    <w:r>
      <w:rPr>
        <w:rStyle w:val="10"/>
      </w:rPr>
      <w:t>14</w:t>
    </w:r>
    <w:r>
      <w:rPr>
        <w:rStyle w:val="10"/>
      </w:rPr>
      <w:fldChar w:fldCharType="end"/>
    </w:r>
    <w:r>
      <w:rPr>
        <w:rStyle w:val="10"/>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99"/>
    <w:rsid w:val="00020FDB"/>
    <w:rsid w:val="000216F8"/>
    <w:rsid w:val="000368C7"/>
    <w:rsid w:val="0004224E"/>
    <w:rsid w:val="00042694"/>
    <w:rsid w:val="0004718D"/>
    <w:rsid w:val="000978E6"/>
    <w:rsid w:val="000D102F"/>
    <w:rsid w:val="00112419"/>
    <w:rsid w:val="00123BF5"/>
    <w:rsid w:val="001700C6"/>
    <w:rsid w:val="00187783"/>
    <w:rsid w:val="00195388"/>
    <w:rsid w:val="001A2591"/>
    <w:rsid w:val="001A7278"/>
    <w:rsid w:val="001C1154"/>
    <w:rsid w:val="001F3388"/>
    <w:rsid w:val="002373E4"/>
    <w:rsid w:val="00250B1D"/>
    <w:rsid w:val="00260E8B"/>
    <w:rsid w:val="00263903"/>
    <w:rsid w:val="002652CB"/>
    <w:rsid w:val="002A3D01"/>
    <w:rsid w:val="002F02E7"/>
    <w:rsid w:val="00305C17"/>
    <w:rsid w:val="00312DD8"/>
    <w:rsid w:val="003238AE"/>
    <w:rsid w:val="003244D7"/>
    <w:rsid w:val="00330C0C"/>
    <w:rsid w:val="00357228"/>
    <w:rsid w:val="0035795F"/>
    <w:rsid w:val="0037594A"/>
    <w:rsid w:val="00394231"/>
    <w:rsid w:val="00396EAB"/>
    <w:rsid w:val="003A78CC"/>
    <w:rsid w:val="003B20C9"/>
    <w:rsid w:val="003D118B"/>
    <w:rsid w:val="003E26A4"/>
    <w:rsid w:val="003F261F"/>
    <w:rsid w:val="00404356"/>
    <w:rsid w:val="00412967"/>
    <w:rsid w:val="00490DBC"/>
    <w:rsid w:val="004A2F49"/>
    <w:rsid w:val="004A3AB1"/>
    <w:rsid w:val="004B7E55"/>
    <w:rsid w:val="00500217"/>
    <w:rsid w:val="00504C0A"/>
    <w:rsid w:val="00504E42"/>
    <w:rsid w:val="00525B2E"/>
    <w:rsid w:val="00530CAE"/>
    <w:rsid w:val="0053297D"/>
    <w:rsid w:val="00534AF9"/>
    <w:rsid w:val="005940C2"/>
    <w:rsid w:val="005A60A7"/>
    <w:rsid w:val="005F3C9B"/>
    <w:rsid w:val="00610B80"/>
    <w:rsid w:val="00621ACE"/>
    <w:rsid w:val="00640DE0"/>
    <w:rsid w:val="006510F4"/>
    <w:rsid w:val="006668C5"/>
    <w:rsid w:val="006969D2"/>
    <w:rsid w:val="006F09BA"/>
    <w:rsid w:val="0070082E"/>
    <w:rsid w:val="00715E69"/>
    <w:rsid w:val="00720096"/>
    <w:rsid w:val="0073636B"/>
    <w:rsid w:val="00737054"/>
    <w:rsid w:val="0076432C"/>
    <w:rsid w:val="007769C9"/>
    <w:rsid w:val="0079070A"/>
    <w:rsid w:val="007A15DA"/>
    <w:rsid w:val="007B7A32"/>
    <w:rsid w:val="007E245F"/>
    <w:rsid w:val="007F5AFA"/>
    <w:rsid w:val="008176A6"/>
    <w:rsid w:val="00844674"/>
    <w:rsid w:val="008B1E69"/>
    <w:rsid w:val="008B682C"/>
    <w:rsid w:val="009C4750"/>
    <w:rsid w:val="009D3FBF"/>
    <w:rsid w:val="009D7879"/>
    <w:rsid w:val="009E4A8E"/>
    <w:rsid w:val="00A316AD"/>
    <w:rsid w:val="00A34D8E"/>
    <w:rsid w:val="00A50DE1"/>
    <w:rsid w:val="00A6142E"/>
    <w:rsid w:val="00A94D0B"/>
    <w:rsid w:val="00A97E1E"/>
    <w:rsid w:val="00AB002E"/>
    <w:rsid w:val="00AC52F2"/>
    <w:rsid w:val="00AC6FA0"/>
    <w:rsid w:val="00AD7D87"/>
    <w:rsid w:val="00B0116C"/>
    <w:rsid w:val="00B018AF"/>
    <w:rsid w:val="00B058EE"/>
    <w:rsid w:val="00B15E75"/>
    <w:rsid w:val="00B3705C"/>
    <w:rsid w:val="00B4564A"/>
    <w:rsid w:val="00BA5745"/>
    <w:rsid w:val="00BB02AC"/>
    <w:rsid w:val="00BC6BD4"/>
    <w:rsid w:val="00C20E45"/>
    <w:rsid w:val="00C41A6E"/>
    <w:rsid w:val="00C634E4"/>
    <w:rsid w:val="00C74784"/>
    <w:rsid w:val="00C765DB"/>
    <w:rsid w:val="00C902DC"/>
    <w:rsid w:val="00C939FD"/>
    <w:rsid w:val="00CB677B"/>
    <w:rsid w:val="00CC6E94"/>
    <w:rsid w:val="00CE0499"/>
    <w:rsid w:val="00CE2E3E"/>
    <w:rsid w:val="00CE7D34"/>
    <w:rsid w:val="00D00B92"/>
    <w:rsid w:val="00D05EFF"/>
    <w:rsid w:val="00D224DB"/>
    <w:rsid w:val="00D47DAE"/>
    <w:rsid w:val="00D75F72"/>
    <w:rsid w:val="00D91F54"/>
    <w:rsid w:val="00DA7270"/>
    <w:rsid w:val="00DC6C07"/>
    <w:rsid w:val="00DF6C73"/>
    <w:rsid w:val="00E02D70"/>
    <w:rsid w:val="00E0730E"/>
    <w:rsid w:val="00E273C5"/>
    <w:rsid w:val="00E42E08"/>
    <w:rsid w:val="00E45811"/>
    <w:rsid w:val="00E67788"/>
    <w:rsid w:val="00E717EF"/>
    <w:rsid w:val="00E962D9"/>
    <w:rsid w:val="00F04D11"/>
    <w:rsid w:val="00F56742"/>
    <w:rsid w:val="00F72FB0"/>
    <w:rsid w:val="00F8585C"/>
    <w:rsid w:val="00F93D46"/>
    <w:rsid w:val="6BEE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方正仿宋_GBK"/>
      <w:b/>
      <w:kern w:val="44"/>
      <w:sz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Document Map"/>
    <w:basedOn w:val="1"/>
    <w:link w:val="24"/>
    <w:qFormat/>
    <w:uiPriority w:val="0"/>
    <w:rPr>
      <w:rFonts w:ascii="宋体" w:eastAsia="宋体"/>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8">
    <w:name w:val="Table Grid"/>
    <w:basedOn w:val="7"/>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2">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3">
    <w:name w:val="标题2"/>
    <w:basedOn w:val="1"/>
    <w:next w:val="1"/>
    <w:qFormat/>
    <w:uiPriority w:val="0"/>
    <w:pPr>
      <w:ind w:firstLine="0"/>
      <w:jc w:val="center"/>
    </w:pPr>
    <w:rPr>
      <w:rFonts w:eastAsia="方正楷体_GBK"/>
    </w:rPr>
  </w:style>
  <w:style w:type="paragraph" w:customStyle="1" w:styleId="14">
    <w:name w:val="标题3"/>
    <w:basedOn w:val="1"/>
    <w:next w:val="1"/>
    <w:qFormat/>
    <w:uiPriority w:val="0"/>
    <w:rPr>
      <w:rFonts w:eastAsia="方正黑体_GBK"/>
    </w:rPr>
  </w:style>
  <w:style w:type="paragraph" w:customStyle="1" w:styleId="15">
    <w:name w:val="密级"/>
    <w:basedOn w:val="1"/>
    <w:qFormat/>
    <w:uiPriority w:val="0"/>
    <w:pPr>
      <w:adjustRightInd w:val="0"/>
      <w:spacing w:line="425" w:lineRule="atLeast"/>
      <w:ind w:firstLine="0"/>
      <w:jc w:val="right"/>
    </w:pPr>
    <w:rPr>
      <w:rFonts w:ascii="黑体" w:eastAsia="黑体"/>
      <w:sz w:val="30"/>
    </w:rPr>
  </w:style>
  <w:style w:type="paragraph" w:customStyle="1" w:styleId="16">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17">
    <w:name w:val="抄送栏"/>
    <w:basedOn w:val="1"/>
    <w:qFormat/>
    <w:uiPriority w:val="0"/>
    <w:pPr>
      <w:adjustRightInd w:val="0"/>
      <w:snapToGrid/>
      <w:spacing w:line="454" w:lineRule="exact"/>
      <w:ind w:left="1310" w:right="357" w:hanging="953"/>
    </w:pPr>
  </w:style>
  <w:style w:type="paragraph" w:customStyle="1" w:styleId="18">
    <w:name w:val="线型"/>
    <w:basedOn w:val="17"/>
    <w:qFormat/>
    <w:uiPriority w:val="0"/>
    <w:pPr>
      <w:spacing w:line="240" w:lineRule="auto"/>
      <w:ind w:left="0" w:firstLine="0"/>
      <w:jc w:val="center"/>
    </w:pPr>
    <w:rPr>
      <w:sz w:val="21"/>
    </w:rPr>
  </w:style>
  <w:style w:type="paragraph" w:customStyle="1" w:styleId="19">
    <w:name w:val="印发栏"/>
    <w:basedOn w:val="3"/>
    <w:qFormat/>
    <w:uiPriority w:val="0"/>
    <w:pPr>
      <w:tabs>
        <w:tab w:val="right" w:pos="8465"/>
      </w:tabs>
      <w:spacing w:line="454" w:lineRule="exact"/>
      <w:ind w:left="357" w:right="357"/>
    </w:pPr>
    <w:rPr>
      <w:spacing w:val="0"/>
    </w:rPr>
  </w:style>
  <w:style w:type="paragraph" w:customStyle="1" w:styleId="20">
    <w:name w:val="印数"/>
    <w:basedOn w:val="19"/>
    <w:qFormat/>
    <w:uiPriority w:val="0"/>
    <w:pPr>
      <w:spacing w:line="400" w:lineRule="exact"/>
      <w:ind w:left="0" w:right="0"/>
      <w:jc w:val="right"/>
    </w:pPr>
  </w:style>
  <w:style w:type="paragraph" w:customStyle="1" w:styleId="21">
    <w:name w:val="附件栏"/>
    <w:basedOn w:val="1"/>
    <w:qFormat/>
    <w:uiPriority w:val="0"/>
  </w:style>
  <w:style w:type="paragraph" w:customStyle="1" w:styleId="22">
    <w:name w:val="紧急程度"/>
    <w:basedOn w:val="15"/>
    <w:qFormat/>
    <w:uiPriority w:val="0"/>
    <w:pPr>
      <w:overflowPunct w:val="0"/>
      <w:spacing w:line="500" w:lineRule="atLeast"/>
    </w:pPr>
    <w:rPr>
      <w:rFonts w:ascii="汉鼎简黑体" w:eastAsia="汉鼎简黑体"/>
      <w:sz w:val="32"/>
    </w:rPr>
  </w:style>
  <w:style w:type="paragraph" w:customStyle="1" w:styleId="23">
    <w:name w:val="文头"/>
    <w:basedOn w:val="18"/>
    <w:qFormat/>
    <w:uiPriority w:val="0"/>
    <w:pPr>
      <w:overflowPunct w:val="0"/>
      <w:adjustRightInd/>
      <w:snapToGrid w:val="0"/>
      <w:spacing w:before="100" w:line="800" w:lineRule="exact"/>
      <w:jc w:val="distribute"/>
    </w:pPr>
    <w:rPr>
      <w:rFonts w:ascii="方正小标宋_GBK" w:eastAsia="方正小标宋_GBK"/>
      <w:b/>
      <w:color w:val="FF0000"/>
      <w:w w:val="80"/>
      <w:sz w:val="76"/>
    </w:rPr>
  </w:style>
  <w:style w:type="character" w:customStyle="1" w:styleId="24">
    <w:name w:val="文档结构图 Char"/>
    <w:basedOn w:val="9"/>
    <w:link w:val="4"/>
    <w:qFormat/>
    <w:uiPriority w:val="0"/>
    <w:rPr>
      <w:rFonts w:ascii="宋体"/>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temp\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wyk</Company>
  <Pages>1</Pages>
  <Words>807</Words>
  <Characters>4600</Characters>
  <Lines>38</Lines>
  <Paragraphs>10</Paragraphs>
  <TotalTime>0</TotalTime>
  <ScaleCrop>false</ScaleCrop>
  <LinksUpToDate>false</LinksUpToDate>
  <CharactersWithSpaces>5397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巫军辉代 聂小军(部门领导审签)</dc:creator>
  <cp:lastModifiedBy>钱斐</cp:lastModifiedBy>
  <cp:lastPrinted>2020-07-06T08:42:00Z</cp:lastPrinted>
  <dcterms:modified xsi:type="dcterms:W3CDTF">2020-08-26T09:35:47Z</dcterms:modified>
  <dc:title>财政厅合发文模板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